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FDD1A" w14:textId="77777777" w:rsidR="009624DB" w:rsidRDefault="009624DB" w:rsidP="00333BE4">
      <w:pPr>
        <w:jc w:val="center"/>
        <w:rPr>
          <w:rFonts w:asciiTheme="minorHAnsi" w:hAnsiTheme="minorHAnsi"/>
          <w:b/>
          <w:sz w:val="22"/>
          <w:szCs w:val="22"/>
        </w:rPr>
      </w:pPr>
    </w:p>
    <w:p w14:paraId="15A1A7B6" w14:textId="77777777" w:rsidR="00013E17" w:rsidRDefault="00013E17" w:rsidP="00333BE4">
      <w:pPr>
        <w:jc w:val="center"/>
        <w:rPr>
          <w:rFonts w:asciiTheme="minorHAnsi" w:hAnsiTheme="minorHAnsi"/>
          <w:b/>
          <w:sz w:val="22"/>
          <w:szCs w:val="22"/>
        </w:rPr>
      </w:pPr>
    </w:p>
    <w:p w14:paraId="75ABAF88" w14:textId="77777777" w:rsidR="00013E17" w:rsidRDefault="00013E17" w:rsidP="00333BE4">
      <w:pPr>
        <w:jc w:val="center"/>
        <w:rPr>
          <w:rFonts w:asciiTheme="minorHAnsi" w:hAnsiTheme="minorHAnsi"/>
          <w:b/>
          <w:sz w:val="22"/>
          <w:szCs w:val="22"/>
        </w:rPr>
      </w:pPr>
    </w:p>
    <w:p w14:paraId="17704421" w14:textId="06A3A6BC" w:rsidR="000A2C59" w:rsidRPr="00333BE4" w:rsidRDefault="00E75F0D" w:rsidP="00333BE4">
      <w:pPr>
        <w:jc w:val="center"/>
        <w:rPr>
          <w:rFonts w:asciiTheme="minorHAnsi" w:hAnsiTheme="minorHAnsi"/>
          <w:b/>
          <w:sz w:val="22"/>
          <w:szCs w:val="22"/>
        </w:rPr>
      </w:pPr>
      <w:r w:rsidRPr="00333BE4">
        <w:rPr>
          <w:rFonts w:asciiTheme="minorHAnsi" w:hAnsiTheme="minorHAnsi"/>
          <w:b/>
          <w:sz w:val="22"/>
          <w:szCs w:val="22"/>
        </w:rPr>
        <w:t>BISHO</w:t>
      </w:r>
      <w:r w:rsidR="003A6B0F" w:rsidRPr="00333BE4">
        <w:rPr>
          <w:rFonts w:asciiTheme="minorHAnsi" w:hAnsiTheme="minorHAnsi"/>
          <w:b/>
          <w:sz w:val="22"/>
          <w:szCs w:val="22"/>
        </w:rPr>
        <w:t>P GROSSETESTE UNIVERSITY</w:t>
      </w:r>
    </w:p>
    <w:p w14:paraId="17704422" w14:textId="4F4031AB" w:rsidR="003A6B0F" w:rsidRPr="00333BE4" w:rsidRDefault="00E75F0D" w:rsidP="00333BE4">
      <w:pPr>
        <w:jc w:val="center"/>
        <w:rPr>
          <w:rFonts w:asciiTheme="minorHAnsi" w:hAnsiTheme="minorHAnsi"/>
          <w:b/>
          <w:sz w:val="22"/>
          <w:szCs w:val="22"/>
        </w:rPr>
      </w:pPr>
      <w:r w:rsidRPr="00333BE4">
        <w:rPr>
          <w:rFonts w:asciiTheme="minorHAnsi" w:hAnsiTheme="minorHAnsi"/>
          <w:b/>
          <w:sz w:val="22"/>
          <w:szCs w:val="22"/>
        </w:rPr>
        <w:t>ANNUAL DIVERSITY AND EQU</w:t>
      </w:r>
      <w:r w:rsidR="003A6B0F" w:rsidRPr="00333BE4">
        <w:rPr>
          <w:rFonts w:asciiTheme="minorHAnsi" w:hAnsiTheme="minorHAnsi"/>
          <w:b/>
          <w:sz w:val="22"/>
          <w:szCs w:val="22"/>
        </w:rPr>
        <w:t>A</w:t>
      </w:r>
      <w:r w:rsidRPr="00333BE4">
        <w:rPr>
          <w:rFonts w:asciiTheme="minorHAnsi" w:hAnsiTheme="minorHAnsi"/>
          <w:b/>
          <w:sz w:val="22"/>
          <w:szCs w:val="22"/>
        </w:rPr>
        <w:t>L</w:t>
      </w:r>
      <w:r w:rsidR="003A6B0F" w:rsidRPr="00333BE4">
        <w:rPr>
          <w:rFonts w:asciiTheme="minorHAnsi" w:hAnsiTheme="minorHAnsi"/>
          <w:b/>
          <w:sz w:val="22"/>
          <w:szCs w:val="22"/>
        </w:rPr>
        <w:t>ITY MONITORING REPORT</w:t>
      </w:r>
    </w:p>
    <w:p w14:paraId="17704423" w14:textId="77777777" w:rsidR="003A6B0F" w:rsidRDefault="003A6B0F" w:rsidP="00333BE4">
      <w:pPr>
        <w:jc w:val="center"/>
        <w:rPr>
          <w:rFonts w:asciiTheme="minorHAnsi" w:hAnsiTheme="minorHAnsi"/>
          <w:b/>
          <w:sz w:val="22"/>
          <w:szCs w:val="22"/>
        </w:rPr>
      </w:pPr>
    </w:p>
    <w:p w14:paraId="5679DA02" w14:textId="77777777" w:rsidR="00013E17" w:rsidRPr="00333BE4" w:rsidRDefault="00013E17" w:rsidP="00333BE4">
      <w:pPr>
        <w:jc w:val="center"/>
        <w:rPr>
          <w:rFonts w:asciiTheme="minorHAnsi" w:hAnsiTheme="minorHAnsi"/>
          <w:b/>
          <w:sz w:val="22"/>
          <w:szCs w:val="22"/>
        </w:rPr>
      </w:pPr>
    </w:p>
    <w:p w14:paraId="17704424" w14:textId="311C59E0" w:rsidR="003A6B0F" w:rsidRPr="00333BE4" w:rsidRDefault="009624DB" w:rsidP="00333BE4">
      <w:pPr>
        <w:jc w:val="center"/>
        <w:rPr>
          <w:rFonts w:asciiTheme="minorHAnsi" w:hAnsiTheme="minorHAnsi"/>
          <w:b/>
          <w:sz w:val="22"/>
          <w:szCs w:val="22"/>
        </w:rPr>
      </w:pPr>
      <w:r>
        <w:rPr>
          <w:rFonts w:asciiTheme="minorHAnsi" w:hAnsiTheme="minorHAnsi"/>
          <w:b/>
          <w:sz w:val="22"/>
          <w:szCs w:val="22"/>
        </w:rPr>
        <w:t>Academic Y</w:t>
      </w:r>
      <w:r w:rsidR="003A6B0F" w:rsidRPr="00333BE4">
        <w:rPr>
          <w:rFonts w:asciiTheme="minorHAnsi" w:hAnsiTheme="minorHAnsi"/>
          <w:b/>
          <w:sz w:val="22"/>
          <w:szCs w:val="22"/>
        </w:rPr>
        <w:t>ear 2014-2015</w:t>
      </w:r>
    </w:p>
    <w:p w14:paraId="17704426" w14:textId="77777777" w:rsidR="003A6B0F" w:rsidRDefault="003A6B0F" w:rsidP="003A6B0F">
      <w:pPr>
        <w:pStyle w:val="Default"/>
        <w:rPr>
          <w:rFonts w:asciiTheme="minorHAnsi" w:hAnsiTheme="minorHAnsi"/>
          <w:sz w:val="22"/>
          <w:szCs w:val="22"/>
        </w:rPr>
      </w:pPr>
    </w:p>
    <w:p w14:paraId="4425505F" w14:textId="77777777" w:rsidR="00013E17" w:rsidRDefault="00013E17" w:rsidP="003A6B0F">
      <w:pPr>
        <w:pStyle w:val="Default"/>
        <w:rPr>
          <w:rFonts w:asciiTheme="minorHAnsi" w:hAnsiTheme="minorHAnsi"/>
          <w:sz w:val="22"/>
          <w:szCs w:val="22"/>
        </w:rPr>
      </w:pPr>
    </w:p>
    <w:p w14:paraId="66892500" w14:textId="77777777" w:rsidR="00013E17" w:rsidRDefault="00013E17" w:rsidP="003A6B0F">
      <w:pPr>
        <w:pStyle w:val="Default"/>
        <w:rPr>
          <w:rFonts w:asciiTheme="minorHAnsi" w:hAnsiTheme="minorHAnsi"/>
          <w:sz w:val="22"/>
          <w:szCs w:val="22"/>
        </w:rPr>
      </w:pPr>
    </w:p>
    <w:p w14:paraId="365D5EB2" w14:textId="77777777" w:rsidR="00013E17" w:rsidRDefault="00013E17" w:rsidP="003A6B0F">
      <w:pPr>
        <w:pStyle w:val="Default"/>
        <w:rPr>
          <w:rFonts w:asciiTheme="minorHAnsi" w:hAnsiTheme="minorHAnsi"/>
          <w:sz w:val="22"/>
          <w:szCs w:val="22"/>
        </w:rPr>
      </w:pPr>
    </w:p>
    <w:p w14:paraId="3706A982" w14:textId="77777777" w:rsidR="00013E17" w:rsidRPr="00333BE4" w:rsidRDefault="00013E17" w:rsidP="003A6B0F">
      <w:pPr>
        <w:pStyle w:val="Default"/>
        <w:rPr>
          <w:rFonts w:asciiTheme="minorHAnsi" w:hAnsiTheme="minorHAnsi"/>
          <w:sz w:val="22"/>
          <w:szCs w:val="22"/>
        </w:rPr>
      </w:pPr>
    </w:p>
    <w:p w14:paraId="17704427" w14:textId="1BB65023" w:rsidR="003A6B0F" w:rsidRPr="00013E17" w:rsidRDefault="003A6B0F" w:rsidP="00013E17">
      <w:pPr>
        <w:pStyle w:val="Default"/>
        <w:numPr>
          <w:ilvl w:val="0"/>
          <w:numId w:val="8"/>
        </w:numPr>
        <w:rPr>
          <w:rFonts w:asciiTheme="minorHAnsi" w:hAnsiTheme="minorHAnsi"/>
          <w:b/>
          <w:bCs/>
          <w:sz w:val="22"/>
          <w:szCs w:val="22"/>
        </w:rPr>
      </w:pPr>
      <w:r w:rsidRPr="00013E17">
        <w:rPr>
          <w:rFonts w:asciiTheme="minorHAnsi" w:hAnsiTheme="minorHAnsi"/>
          <w:b/>
          <w:bCs/>
          <w:sz w:val="22"/>
          <w:szCs w:val="22"/>
        </w:rPr>
        <w:t xml:space="preserve">INTRODUCTION </w:t>
      </w:r>
    </w:p>
    <w:p w14:paraId="61552D43" w14:textId="77777777" w:rsidR="00333BE4" w:rsidRPr="00333BE4" w:rsidRDefault="00333BE4" w:rsidP="00333BE4">
      <w:pPr>
        <w:pStyle w:val="Default"/>
        <w:ind w:left="405"/>
        <w:rPr>
          <w:rFonts w:asciiTheme="minorHAnsi" w:hAnsiTheme="minorHAnsi"/>
          <w:sz w:val="22"/>
          <w:szCs w:val="22"/>
        </w:rPr>
      </w:pPr>
    </w:p>
    <w:p w14:paraId="17704428" w14:textId="657CFD64" w:rsidR="003A6B0F" w:rsidRPr="00333BE4" w:rsidRDefault="003A6B0F" w:rsidP="009624DB">
      <w:pPr>
        <w:pStyle w:val="Default"/>
        <w:ind w:left="450"/>
        <w:rPr>
          <w:rFonts w:asciiTheme="minorHAnsi" w:hAnsiTheme="minorHAnsi"/>
          <w:sz w:val="22"/>
          <w:szCs w:val="22"/>
        </w:rPr>
      </w:pPr>
      <w:r w:rsidRPr="00333BE4">
        <w:rPr>
          <w:rFonts w:asciiTheme="minorHAnsi" w:hAnsiTheme="minorHAnsi"/>
          <w:sz w:val="22"/>
          <w:szCs w:val="22"/>
        </w:rPr>
        <w:t>This is the University’s Annual Equality Monitoring Report for academic year 201</w:t>
      </w:r>
      <w:r w:rsidR="00333BE4" w:rsidRPr="00333BE4">
        <w:rPr>
          <w:rFonts w:asciiTheme="minorHAnsi" w:hAnsiTheme="minorHAnsi"/>
          <w:sz w:val="22"/>
          <w:szCs w:val="22"/>
        </w:rPr>
        <w:t>4</w:t>
      </w:r>
      <w:r w:rsidRPr="00333BE4">
        <w:rPr>
          <w:rFonts w:asciiTheme="minorHAnsi" w:hAnsiTheme="minorHAnsi"/>
          <w:sz w:val="22"/>
          <w:szCs w:val="22"/>
        </w:rPr>
        <w:t>/1</w:t>
      </w:r>
      <w:r w:rsidR="00333BE4" w:rsidRPr="00333BE4">
        <w:rPr>
          <w:rFonts w:asciiTheme="minorHAnsi" w:hAnsiTheme="minorHAnsi"/>
          <w:sz w:val="22"/>
          <w:szCs w:val="22"/>
        </w:rPr>
        <w:t>5</w:t>
      </w:r>
      <w:r w:rsidRPr="00333BE4">
        <w:rPr>
          <w:rFonts w:asciiTheme="minorHAnsi" w:hAnsiTheme="minorHAnsi"/>
          <w:sz w:val="22"/>
          <w:szCs w:val="22"/>
        </w:rPr>
        <w:t xml:space="preserve">. It has been prepared by the Equality and </w:t>
      </w:r>
      <w:r w:rsidR="00FD7B8D">
        <w:rPr>
          <w:rFonts w:asciiTheme="minorHAnsi" w:hAnsiTheme="minorHAnsi"/>
          <w:sz w:val="22"/>
          <w:szCs w:val="22"/>
        </w:rPr>
        <w:t xml:space="preserve">Diversity </w:t>
      </w:r>
      <w:r w:rsidRPr="00333BE4">
        <w:rPr>
          <w:rFonts w:asciiTheme="minorHAnsi" w:hAnsiTheme="minorHAnsi"/>
          <w:sz w:val="22"/>
          <w:szCs w:val="22"/>
        </w:rPr>
        <w:t>Committee and provides a summary of the equality-related data</w:t>
      </w:r>
      <w:r w:rsidR="007F0DCC">
        <w:rPr>
          <w:rFonts w:asciiTheme="minorHAnsi" w:hAnsiTheme="minorHAnsi"/>
          <w:sz w:val="22"/>
          <w:szCs w:val="22"/>
        </w:rPr>
        <w:t xml:space="preserve"> that we have gathered over the</w:t>
      </w:r>
      <w:r w:rsidRPr="00333BE4">
        <w:rPr>
          <w:rFonts w:asciiTheme="minorHAnsi" w:hAnsiTheme="minorHAnsi"/>
          <w:sz w:val="22"/>
          <w:szCs w:val="22"/>
        </w:rPr>
        <w:t xml:space="preserve"> year alongside data gathered in previous years. These data provide us with an evidence-based approach to equality, enabling the University to prioritise and focus our limited resources on specific equality issues.</w:t>
      </w:r>
    </w:p>
    <w:p w14:paraId="17704429" w14:textId="77777777" w:rsidR="003A6B0F" w:rsidRPr="00333BE4" w:rsidRDefault="003A6B0F" w:rsidP="009624DB">
      <w:pPr>
        <w:pStyle w:val="Default"/>
        <w:ind w:left="90"/>
        <w:rPr>
          <w:rFonts w:asciiTheme="minorHAnsi" w:hAnsiTheme="minorHAnsi"/>
          <w:sz w:val="22"/>
          <w:szCs w:val="22"/>
        </w:rPr>
      </w:pPr>
    </w:p>
    <w:p w14:paraId="1770442A" w14:textId="77777777" w:rsidR="003A6B0F" w:rsidRPr="00333BE4" w:rsidRDefault="003A6B0F" w:rsidP="009624DB">
      <w:pPr>
        <w:pStyle w:val="Default"/>
        <w:ind w:left="450"/>
        <w:rPr>
          <w:rFonts w:asciiTheme="minorHAnsi" w:hAnsiTheme="minorHAnsi"/>
          <w:sz w:val="22"/>
          <w:szCs w:val="22"/>
        </w:rPr>
      </w:pPr>
      <w:r w:rsidRPr="00333BE4">
        <w:rPr>
          <w:rFonts w:asciiTheme="minorHAnsi" w:hAnsiTheme="minorHAnsi"/>
          <w:sz w:val="22"/>
          <w:szCs w:val="22"/>
        </w:rPr>
        <w:t xml:space="preserve">Publication of these data also demonstrates our compliance with the requirement of the Public Sector Equality Duty to publish relevant equality information and supports the University in identifying activity to meet the three elements of the general equality duty, which are to have due regard to the need to: </w:t>
      </w:r>
    </w:p>
    <w:p w14:paraId="1770442B" w14:textId="77777777" w:rsidR="003A6B0F" w:rsidRPr="00333BE4" w:rsidRDefault="003A6B0F" w:rsidP="009624DB">
      <w:pPr>
        <w:pStyle w:val="Default"/>
        <w:ind w:left="90"/>
        <w:rPr>
          <w:rFonts w:asciiTheme="minorHAnsi" w:hAnsiTheme="minorHAnsi"/>
          <w:sz w:val="22"/>
          <w:szCs w:val="22"/>
        </w:rPr>
      </w:pPr>
    </w:p>
    <w:p w14:paraId="1770442C" w14:textId="77777777" w:rsidR="003A6B0F" w:rsidRPr="00333BE4" w:rsidRDefault="003A6B0F" w:rsidP="009624DB">
      <w:pPr>
        <w:pStyle w:val="Default"/>
        <w:spacing w:after="30"/>
        <w:ind w:left="810"/>
        <w:rPr>
          <w:rFonts w:asciiTheme="minorHAnsi" w:hAnsiTheme="minorHAnsi"/>
          <w:sz w:val="22"/>
          <w:szCs w:val="22"/>
        </w:rPr>
      </w:pPr>
      <w:r w:rsidRPr="00333BE4">
        <w:rPr>
          <w:rFonts w:asciiTheme="minorHAnsi" w:hAnsiTheme="minorHAnsi"/>
          <w:sz w:val="22"/>
          <w:szCs w:val="22"/>
        </w:rPr>
        <w:t xml:space="preserve">eliminate unlawful discrimination, harassment and victimisation and other conduct prohibited by the Equality Act 2010 </w:t>
      </w:r>
    </w:p>
    <w:p w14:paraId="1770442D" w14:textId="77777777" w:rsidR="003A6B0F" w:rsidRPr="00333BE4" w:rsidRDefault="003A6B0F" w:rsidP="009624DB">
      <w:pPr>
        <w:pStyle w:val="Default"/>
        <w:spacing w:after="30"/>
        <w:ind w:left="810"/>
        <w:rPr>
          <w:rFonts w:asciiTheme="minorHAnsi" w:hAnsiTheme="minorHAnsi"/>
          <w:sz w:val="22"/>
          <w:szCs w:val="22"/>
        </w:rPr>
      </w:pPr>
      <w:r w:rsidRPr="00333BE4">
        <w:rPr>
          <w:rFonts w:asciiTheme="minorHAnsi" w:hAnsiTheme="minorHAnsi"/>
          <w:sz w:val="22"/>
          <w:szCs w:val="22"/>
        </w:rPr>
        <w:t xml:space="preserve">advance equality of opportunity between people from different groups </w:t>
      </w:r>
    </w:p>
    <w:p w14:paraId="1770442E" w14:textId="77777777" w:rsidR="003A6B0F" w:rsidRPr="00333BE4" w:rsidRDefault="003A6B0F" w:rsidP="009624DB">
      <w:pPr>
        <w:pStyle w:val="Default"/>
        <w:ind w:left="810"/>
        <w:rPr>
          <w:rFonts w:asciiTheme="minorHAnsi" w:hAnsiTheme="minorHAnsi"/>
          <w:sz w:val="22"/>
          <w:szCs w:val="22"/>
        </w:rPr>
      </w:pPr>
      <w:r w:rsidRPr="00333BE4">
        <w:rPr>
          <w:rFonts w:asciiTheme="minorHAnsi" w:hAnsiTheme="minorHAnsi"/>
          <w:sz w:val="22"/>
          <w:szCs w:val="22"/>
        </w:rPr>
        <w:t xml:space="preserve">foster good relations between people from different groups </w:t>
      </w:r>
    </w:p>
    <w:p w14:paraId="1770442F" w14:textId="77777777" w:rsidR="003A6B0F" w:rsidRPr="00333BE4" w:rsidRDefault="003A6B0F" w:rsidP="009624DB">
      <w:pPr>
        <w:pStyle w:val="Default"/>
        <w:ind w:left="90"/>
        <w:rPr>
          <w:rFonts w:asciiTheme="minorHAnsi" w:hAnsiTheme="minorHAnsi"/>
          <w:sz w:val="22"/>
          <w:szCs w:val="22"/>
        </w:rPr>
      </w:pPr>
    </w:p>
    <w:p w14:paraId="17704430" w14:textId="4AA55D76" w:rsidR="003A6B0F" w:rsidRPr="00333BE4" w:rsidRDefault="003A6B0F" w:rsidP="009624DB">
      <w:pPr>
        <w:pStyle w:val="Default"/>
        <w:ind w:left="720"/>
        <w:rPr>
          <w:rFonts w:asciiTheme="minorHAnsi" w:hAnsiTheme="minorHAnsi"/>
          <w:sz w:val="22"/>
          <w:szCs w:val="22"/>
        </w:rPr>
      </w:pPr>
      <w:r w:rsidRPr="00333BE4">
        <w:rPr>
          <w:rFonts w:asciiTheme="minorHAnsi" w:hAnsiTheme="minorHAnsi"/>
          <w:sz w:val="22"/>
          <w:szCs w:val="22"/>
        </w:rPr>
        <w:t xml:space="preserve">Sector-wide equality data - taken from the Equality Challenge Unit’s publication </w:t>
      </w:r>
      <w:r w:rsidRPr="00333BE4">
        <w:rPr>
          <w:rFonts w:asciiTheme="minorHAnsi" w:hAnsiTheme="minorHAnsi"/>
          <w:i/>
          <w:iCs/>
          <w:sz w:val="22"/>
          <w:szCs w:val="22"/>
        </w:rPr>
        <w:t>Equality in higher ed</w:t>
      </w:r>
      <w:r w:rsidR="00333BE4" w:rsidRPr="00333BE4">
        <w:rPr>
          <w:rFonts w:asciiTheme="minorHAnsi" w:hAnsiTheme="minorHAnsi"/>
          <w:i/>
          <w:iCs/>
          <w:sz w:val="22"/>
          <w:szCs w:val="22"/>
        </w:rPr>
        <w:t>ucation: statistical report 2015</w:t>
      </w:r>
      <w:r w:rsidRPr="00333BE4">
        <w:rPr>
          <w:rFonts w:asciiTheme="minorHAnsi" w:hAnsiTheme="minorHAnsi"/>
          <w:i/>
          <w:iCs/>
          <w:sz w:val="22"/>
          <w:szCs w:val="22"/>
        </w:rPr>
        <w:t xml:space="preserve"> </w:t>
      </w:r>
      <w:r w:rsidRPr="00333BE4">
        <w:rPr>
          <w:rFonts w:asciiTheme="minorHAnsi" w:hAnsiTheme="minorHAnsi"/>
          <w:sz w:val="22"/>
          <w:szCs w:val="22"/>
        </w:rPr>
        <w:t xml:space="preserve">and also from the online Higher Education Information Database for Institutions (Heidi) </w:t>
      </w:r>
      <w:r w:rsidRPr="00333BE4">
        <w:rPr>
          <w:rFonts w:asciiTheme="minorHAnsi" w:hAnsiTheme="minorHAnsi"/>
          <w:i/>
          <w:iCs/>
          <w:sz w:val="22"/>
          <w:szCs w:val="22"/>
        </w:rPr>
        <w:t xml:space="preserve">- </w:t>
      </w:r>
      <w:r w:rsidRPr="00333BE4">
        <w:rPr>
          <w:rFonts w:asciiTheme="minorHAnsi" w:hAnsiTheme="minorHAnsi"/>
          <w:sz w:val="22"/>
          <w:szCs w:val="22"/>
        </w:rPr>
        <w:t xml:space="preserve">are included in this report to indicate how the University compares with the national picture in key areas. </w:t>
      </w:r>
      <w:r w:rsidR="00D868EB" w:rsidRPr="00333BE4">
        <w:rPr>
          <w:rFonts w:asciiTheme="minorHAnsi" w:hAnsiTheme="minorHAnsi"/>
          <w:sz w:val="22"/>
          <w:szCs w:val="22"/>
        </w:rPr>
        <w:t xml:space="preserve">  It should be noted that throughout this report data is reported in very small numbers which means that caution is required when interpreting meaning.</w:t>
      </w:r>
    </w:p>
    <w:p w14:paraId="17704431" w14:textId="77777777" w:rsidR="00D868EB" w:rsidRPr="00333BE4" w:rsidRDefault="00D868EB" w:rsidP="009624DB">
      <w:pPr>
        <w:pStyle w:val="Default"/>
        <w:ind w:left="90"/>
        <w:rPr>
          <w:rFonts w:asciiTheme="minorHAnsi" w:hAnsiTheme="minorHAnsi"/>
          <w:sz w:val="22"/>
          <w:szCs w:val="22"/>
        </w:rPr>
      </w:pPr>
    </w:p>
    <w:p w14:paraId="1A43460A" w14:textId="755105A6" w:rsidR="00333BE4" w:rsidRPr="00333BE4" w:rsidRDefault="006070B1" w:rsidP="009624DB">
      <w:pPr>
        <w:autoSpaceDE w:val="0"/>
        <w:autoSpaceDN w:val="0"/>
        <w:adjustRightInd w:val="0"/>
        <w:ind w:left="720"/>
        <w:rPr>
          <w:rFonts w:asciiTheme="minorHAnsi" w:hAnsiTheme="minorHAnsi" w:cs="Arial"/>
          <w:color w:val="000000"/>
          <w:sz w:val="22"/>
          <w:szCs w:val="22"/>
        </w:rPr>
      </w:pPr>
      <w:r w:rsidRPr="00333BE4">
        <w:rPr>
          <w:rFonts w:asciiTheme="minorHAnsi" w:hAnsiTheme="minorHAnsi" w:cs="Arial"/>
          <w:color w:val="000000"/>
          <w:sz w:val="22"/>
          <w:szCs w:val="22"/>
        </w:rPr>
        <w:t xml:space="preserve">In line with the Equality Duty the University set a number of equality objectives which were published in April 2012. These objectives consist of three broad, over-arching objectives and a series of specific </w:t>
      </w:r>
      <w:r w:rsidR="00333BE4">
        <w:rPr>
          <w:rFonts w:asciiTheme="minorHAnsi" w:hAnsiTheme="minorHAnsi" w:cs="Arial"/>
          <w:color w:val="000000"/>
          <w:sz w:val="22"/>
          <w:szCs w:val="22"/>
        </w:rPr>
        <w:t>goals</w:t>
      </w:r>
      <w:r w:rsidRPr="00333BE4">
        <w:rPr>
          <w:rFonts w:asciiTheme="minorHAnsi" w:hAnsiTheme="minorHAnsi" w:cs="Arial"/>
          <w:color w:val="000000"/>
          <w:sz w:val="22"/>
          <w:szCs w:val="22"/>
        </w:rPr>
        <w:t xml:space="preserve"> under each</w:t>
      </w:r>
      <w:r w:rsidR="00333BE4">
        <w:rPr>
          <w:rFonts w:asciiTheme="minorHAnsi" w:hAnsiTheme="minorHAnsi" w:cs="Arial"/>
          <w:color w:val="000000"/>
          <w:sz w:val="22"/>
          <w:szCs w:val="22"/>
        </w:rPr>
        <w:t>.</w:t>
      </w:r>
      <w:r w:rsidRPr="00333BE4">
        <w:rPr>
          <w:rFonts w:asciiTheme="minorHAnsi" w:hAnsiTheme="minorHAnsi" w:cs="Arial"/>
          <w:color w:val="000000"/>
          <w:sz w:val="22"/>
          <w:szCs w:val="22"/>
        </w:rPr>
        <w:t xml:space="preserve"> </w:t>
      </w:r>
    </w:p>
    <w:p w14:paraId="21E2B44B" w14:textId="49E7A74B" w:rsidR="00333BE4" w:rsidRPr="00333BE4" w:rsidRDefault="00333BE4" w:rsidP="009624DB">
      <w:pPr>
        <w:pStyle w:val="Default"/>
        <w:ind w:left="720"/>
        <w:rPr>
          <w:rFonts w:asciiTheme="minorHAnsi" w:hAnsiTheme="minorHAnsi"/>
          <w:sz w:val="22"/>
          <w:szCs w:val="22"/>
        </w:rPr>
      </w:pPr>
      <w:r w:rsidRPr="00333BE4">
        <w:rPr>
          <w:rFonts w:asciiTheme="minorHAnsi" w:hAnsiTheme="minorHAnsi" w:cs="Arial"/>
          <w:sz w:val="22"/>
          <w:szCs w:val="22"/>
        </w:rPr>
        <w:t xml:space="preserve">Each year the Equality and Diversity </w:t>
      </w:r>
      <w:r w:rsidR="007F0DCC">
        <w:rPr>
          <w:rFonts w:asciiTheme="minorHAnsi" w:hAnsiTheme="minorHAnsi" w:cs="Arial"/>
          <w:sz w:val="22"/>
          <w:szCs w:val="22"/>
        </w:rPr>
        <w:t xml:space="preserve">Committee </w:t>
      </w:r>
      <w:r w:rsidRPr="00333BE4">
        <w:rPr>
          <w:rFonts w:asciiTheme="minorHAnsi" w:hAnsiTheme="minorHAnsi" w:cs="Arial"/>
          <w:sz w:val="22"/>
          <w:szCs w:val="22"/>
        </w:rPr>
        <w:t>identify key priorities which become the focus of the work on equality for the forthcoming year. Progress on the 2014-15 priorities is detailed in this report.</w:t>
      </w:r>
    </w:p>
    <w:p w14:paraId="15B8D28B" w14:textId="1860E8E5" w:rsidR="00333BE4" w:rsidRDefault="00333BE4" w:rsidP="009624DB">
      <w:pPr>
        <w:autoSpaceDE w:val="0"/>
        <w:autoSpaceDN w:val="0"/>
        <w:adjustRightInd w:val="0"/>
        <w:ind w:left="720"/>
        <w:rPr>
          <w:rFonts w:asciiTheme="minorHAnsi" w:hAnsiTheme="minorHAnsi" w:cs="Arial"/>
          <w:color w:val="000000"/>
          <w:sz w:val="22"/>
          <w:szCs w:val="22"/>
        </w:rPr>
      </w:pPr>
      <w:r>
        <w:rPr>
          <w:rFonts w:asciiTheme="minorHAnsi" w:hAnsiTheme="minorHAnsi" w:cs="Arial"/>
          <w:color w:val="000000"/>
          <w:sz w:val="22"/>
          <w:szCs w:val="22"/>
        </w:rPr>
        <w:t xml:space="preserve">These are included as attachment 1.  </w:t>
      </w:r>
    </w:p>
    <w:p w14:paraId="4052ACB6" w14:textId="77777777" w:rsidR="00333BE4" w:rsidRDefault="00333BE4" w:rsidP="009624DB">
      <w:pPr>
        <w:autoSpaceDE w:val="0"/>
        <w:autoSpaceDN w:val="0"/>
        <w:adjustRightInd w:val="0"/>
        <w:ind w:left="90"/>
        <w:rPr>
          <w:rFonts w:asciiTheme="minorHAnsi" w:hAnsiTheme="minorHAnsi" w:cs="Arial"/>
          <w:color w:val="000000"/>
          <w:sz w:val="22"/>
          <w:szCs w:val="22"/>
        </w:rPr>
      </w:pPr>
    </w:p>
    <w:p w14:paraId="17704432" w14:textId="13D914DF" w:rsidR="006070B1" w:rsidRDefault="00333BE4" w:rsidP="009624DB">
      <w:pPr>
        <w:autoSpaceDE w:val="0"/>
        <w:autoSpaceDN w:val="0"/>
        <w:adjustRightInd w:val="0"/>
        <w:ind w:left="720"/>
        <w:rPr>
          <w:rFonts w:asciiTheme="minorHAnsi" w:hAnsiTheme="minorHAnsi" w:cs="Arial"/>
          <w:color w:val="000000"/>
          <w:sz w:val="22"/>
          <w:szCs w:val="22"/>
        </w:rPr>
      </w:pPr>
      <w:r>
        <w:rPr>
          <w:rFonts w:asciiTheme="minorHAnsi" w:hAnsiTheme="minorHAnsi" w:cs="Arial"/>
          <w:color w:val="000000"/>
          <w:sz w:val="22"/>
          <w:szCs w:val="22"/>
        </w:rPr>
        <w:t>The overarching equality objectives and associated actions will be reviewed in 2016 and a revised action plan drafted and approved by the Diversity &amp; Equality Committee. These revised objectives will be monitored throughout the year by the committee.</w:t>
      </w:r>
    </w:p>
    <w:p w14:paraId="5C90501F" w14:textId="0CE0548B" w:rsidR="00013E17" w:rsidRDefault="00013E17" w:rsidP="003A6B0F">
      <w:pPr>
        <w:rPr>
          <w:rFonts w:asciiTheme="minorHAnsi" w:hAnsiTheme="minorHAnsi"/>
          <w:sz w:val="22"/>
          <w:szCs w:val="22"/>
        </w:rPr>
      </w:pPr>
    </w:p>
    <w:p w14:paraId="15180515" w14:textId="77777777" w:rsidR="00956621" w:rsidRDefault="00956621" w:rsidP="003A6B0F">
      <w:pPr>
        <w:rPr>
          <w:rFonts w:asciiTheme="minorHAnsi" w:hAnsiTheme="minorHAnsi"/>
          <w:b/>
          <w:sz w:val="22"/>
          <w:szCs w:val="22"/>
        </w:rPr>
      </w:pPr>
    </w:p>
    <w:p w14:paraId="17704436" w14:textId="77777777" w:rsidR="003A6B0F" w:rsidRPr="00333BE4" w:rsidRDefault="003A6B0F" w:rsidP="003A6B0F">
      <w:pPr>
        <w:rPr>
          <w:rFonts w:asciiTheme="minorHAnsi" w:hAnsiTheme="minorHAnsi"/>
          <w:b/>
          <w:sz w:val="22"/>
          <w:szCs w:val="22"/>
        </w:rPr>
      </w:pPr>
      <w:r w:rsidRPr="00333BE4">
        <w:rPr>
          <w:rFonts w:asciiTheme="minorHAnsi" w:hAnsiTheme="minorHAnsi"/>
          <w:b/>
          <w:sz w:val="22"/>
          <w:szCs w:val="22"/>
        </w:rPr>
        <w:lastRenderedPageBreak/>
        <w:t>2. STAFF DATA</w:t>
      </w:r>
    </w:p>
    <w:p w14:paraId="17704437" w14:textId="77777777" w:rsidR="003A6B0F" w:rsidRPr="00333BE4" w:rsidRDefault="003A6B0F" w:rsidP="003A6B0F">
      <w:pPr>
        <w:rPr>
          <w:rFonts w:asciiTheme="minorHAnsi" w:hAnsiTheme="minorHAnsi"/>
          <w:b/>
          <w:sz w:val="22"/>
          <w:szCs w:val="22"/>
        </w:rPr>
      </w:pPr>
    </w:p>
    <w:p w14:paraId="7A5E20A0" w14:textId="79C88A95" w:rsidR="00C4229E" w:rsidRDefault="00013E17" w:rsidP="00013E17">
      <w:pPr>
        <w:rPr>
          <w:rFonts w:asciiTheme="minorHAnsi" w:hAnsiTheme="minorHAnsi"/>
          <w:b/>
          <w:sz w:val="22"/>
          <w:szCs w:val="22"/>
        </w:rPr>
      </w:pPr>
      <w:r>
        <w:rPr>
          <w:rFonts w:asciiTheme="minorHAnsi" w:hAnsiTheme="minorHAnsi"/>
          <w:b/>
          <w:sz w:val="22"/>
          <w:szCs w:val="22"/>
        </w:rPr>
        <w:t xml:space="preserve">Staff </w:t>
      </w:r>
      <w:r w:rsidR="00B84C34" w:rsidRPr="007177D5">
        <w:rPr>
          <w:rFonts w:asciiTheme="minorHAnsi" w:hAnsiTheme="minorHAnsi"/>
          <w:b/>
          <w:sz w:val="22"/>
          <w:szCs w:val="22"/>
        </w:rPr>
        <w:t>Gender</w:t>
      </w:r>
      <w:r>
        <w:rPr>
          <w:rFonts w:asciiTheme="minorHAnsi" w:hAnsiTheme="minorHAnsi"/>
          <w:b/>
          <w:sz w:val="22"/>
          <w:szCs w:val="22"/>
        </w:rPr>
        <w:t xml:space="preserve"> </w:t>
      </w:r>
      <w:r w:rsidR="007177D5">
        <w:rPr>
          <w:rFonts w:asciiTheme="minorHAnsi" w:hAnsiTheme="minorHAnsi"/>
          <w:b/>
          <w:sz w:val="22"/>
          <w:szCs w:val="22"/>
        </w:rPr>
        <w:t xml:space="preserve"> </w:t>
      </w:r>
    </w:p>
    <w:p w14:paraId="504EE7AA" w14:textId="77777777" w:rsidR="00013E17" w:rsidRDefault="00013E17" w:rsidP="00013E17">
      <w:pPr>
        <w:ind w:left="720"/>
        <w:rPr>
          <w:rFonts w:asciiTheme="minorHAnsi" w:hAnsiTheme="minorHAnsi"/>
          <w:b/>
          <w:sz w:val="22"/>
          <w:szCs w:val="22"/>
        </w:rPr>
      </w:pPr>
    </w:p>
    <w:p w14:paraId="1770443A" w14:textId="29A6FA35" w:rsidR="003A6B0F" w:rsidRDefault="003A6B0F" w:rsidP="00C4229E">
      <w:pPr>
        <w:rPr>
          <w:rFonts w:asciiTheme="minorHAnsi" w:hAnsiTheme="minorHAnsi"/>
          <w:b/>
          <w:sz w:val="22"/>
          <w:szCs w:val="22"/>
        </w:rPr>
      </w:pPr>
      <w:r w:rsidRPr="00333BE4">
        <w:rPr>
          <w:rFonts w:asciiTheme="minorHAnsi" w:hAnsiTheme="minorHAnsi"/>
          <w:b/>
          <w:sz w:val="22"/>
          <w:szCs w:val="22"/>
        </w:rPr>
        <w:t xml:space="preserve">Table 1: </w:t>
      </w:r>
      <w:r w:rsidRPr="004639D7">
        <w:rPr>
          <w:rFonts w:asciiTheme="minorHAnsi" w:hAnsiTheme="minorHAnsi"/>
          <w:sz w:val="22"/>
          <w:szCs w:val="22"/>
        </w:rPr>
        <w:t xml:space="preserve">Gender of BGU staff, </w:t>
      </w:r>
      <w:r w:rsidR="00B40F06" w:rsidRPr="004639D7">
        <w:rPr>
          <w:rFonts w:asciiTheme="minorHAnsi" w:hAnsiTheme="minorHAnsi"/>
          <w:sz w:val="22"/>
          <w:szCs w:val="22"/>
        </w:rPr>
        <w:t>20</w:t>
      </w:r>
      <w:r w:rsidR="00821313" w:rsidRPr="004639D7">
        <w:rPr>
          <w:rFonts w:asciiTheme="minorHAnsi" w:hAnsiTheme="minorHAnsi"/>
          <w:sz w:val="22"/>
          <w:szCs w:val="22"/>
        </w:rPr>
        <w:t xml:space="preserve">10/11, </w:t>
      </w:r>
      <w:r w:rsidRPr="004639D7">
        <w:rPr>
          <w:rFonts w:asciiTheme="minorHAnsi" w:hAnsiTheme="minorHAnsi"/>
          <w:sz w:val="22"/>
          <w:szCs w:val="22"/>
        </w:rPr>
        <w:t>201</w:t>
      </w:r>
      <w:r w:rsidR="002258FA" w:rsidRPr="004639D7">
        <w:rPr>
          <w:rFonts w:asciiTheme="minorHAnsi" w:hAnsiTheme="minorHAnsi"/>
          <w:sz w:val="22"/>
          <w:szCs w:val="22"/>
        </w:rPr>
        <w:t>2</w:t>
      </w:r>
      <w:r w:rsidRPr="004639D7">
        <w:rPr>
          <w:rFonts w:asciiTheme="minorHAnsi" w:hAnsiTheme="minorHAnsi"/>
          <w:sz w:val="22"/>
          <w:szCs w:val="22"/>
        </w:rPr>
        <w:t>/1</w:t>
      </w:r>
      <w:r w:rsidR="002258FA" w:rsidRPr="004639D7">
        <w:rPr>
          <w:rFonts w:asciiTheme="minorHAnsi" w:hAnsiTheme="minorHAnsi"/>
          <w:sz w:val="22"/>
          <w:szCs w:val="22"/>
        </w:rPr>
        <w:t>3</w:t>
      </w:r>
      <w:r w:rsidRPr="004639D7">
        <w:rPr>
          <w:rFonts w:asciiTheme="minorHAnsi" w:hAnsiTheme="minorHAnsi"/>
          <w:sz w:val="22"/>
          <w:szCs w:val="22"/>
        </w:rPr>
        <w:t>, 201</w:t>
      </w:r>
      <w:r w:rsidR="002258FA" w:rsidRPr="004639D7">
        <w:rPr>
          <w:rFonts w:asciiTheme="minorHAnsi" w:hAnsiTheme="minorHAnsi"/>
          <w:sz w:val="22"/>
          <w:szCs w:val="22"/>
        </w:rPr>
        <w:t>3</w:t>
      </w:r>
      <w:r w:rsidRPr="004639D7">
        <w:rPr>
          <w:rFonts w:asciiTheme="minorHAnsi" w:hAnsiTheme="minorHAnsi"/>
          <w:sz w:val="22"/>
          <w:szCs w:val="22"/>
        </w:rPr>
        <w:t>/1</w:t>
      </w:r>
      <w:r w:rsidR="002258FA" w:rsidRPr="004639D7">
        <w:rPr>
          <w:rFonts w:asciiTheme="minorHAnsi" w:hAnsiTheme="minorHAnsi"/>
          <w:sz w:val="22"/>
          <w:szCs w:val="22"/>
        </w:rPr>
        <w:t>4</w:t>
      </w:r>
      <w:r w:rsidRPr="004639D7">
        <w:rPr>
          <w:rFonts w:asciiTheme="minorHAnsi" w:hAnsiTheme="minorHAnsi"/>
          <w:sz w:val="22"/>
          <w:szCs w:val="22"/>
        </w:rPr>
        <w:t xml:space="preserve"> and 201</w:t>
      </w:r>
      <w:r w:rsidR="002258FA" w:rsidRPr="004639D7">
        <w:rPr>
          <w:rFonts w:asciiTheme="minorHAnsi" w:hAnsiTheme="minorHAnsi"/>
          <w:sz w:val="22"/>
          <w:szCs w:val="22"/>
        </w:rPr>
        <w:t>4</w:t>
      </w:r>
      <w:r w:rsidRPr="004639D7">
        <w:rPr>
          <w:rFonts w:asciiTheme="minorHAnsi" w:hAnsiTheme="minorHAnsi"/>
          <w:sz w:val="22"/>
          <w:szCs w:val="22"/>
        </w:rPr>
        <w:t>/1</w:t>
      </w:r>
      <w:r w:rsidR="002258FA" w:rsidRPr="004639D7">
        <w:rPr>
          <w:rFonts w:asciiTheme="minorHAnsi" w:hAnsiTheme="minorHAnsi"/>
          <w:sz w:val="22"/>
          <w:szCs w:val="22"/>
        </w:rPr>
        <w:t>5</w:t>
      </w:r>
    </w:p>
    <w:p w14:paraId="5F0EE51F" w14:textId="5F638F94" w:rsidR="00821313" w:rsidRDefault="00821313" w:rsidP="00C4229E">
      <w:pPr>
        <w:rPr>
          <w:rFonts w:asciiTheme="minorHAnsi" w:hAnsiTheme="minorHAnsi"/>
          <w:b/>
          <w:sz w:val="22"/>
          <w:szCs w:val="22"/>
        </w:rPr>
      </w:pPr>
    </w:p>
    <w:p w14:paraId="0987F7D6" w14:textId="195FCFF0" w:rsidR="00333490" w:rsidRDefault="00333490" w:rsidP="00C4229E">
      <w:pPr>
        <w:rPr>
          <w:rFonts w:asciiTheme="minorHAnsi" w:hAnsiTheme="minorHAnsi"/>
          <w:b/>
          <w:sz w:val="22"/>
          <w:szCs w:val="22"/>
        </w:rPr>
      </w:pPr>
      <w:r>
        <w:rPr>
          <w:noProof/>
        </w:rPr>
        <w:drawing>
          <wp:inline distT="0" distB="0" distL="0" distR="0" wp14:anchorId="0BB8E742" wp14:editId="5E1C5BB8">
            <wp:extent cx="6645910" cy="1173480"/>
            <wp:effectExtent l="0" t="0" r="254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1173480"/>
                    </a:xfrm>
                    <a:prstGeom prst="rect">
                      <a:avLst/>
                    </a:prstGeom>
                  </pic:spPr>
                </pic:pic>
              </a:graphicData>
            </a:graphic>
          </wp:inline>
        </w:drawing>
      </w:r>
    </w:p>
    <w:p w14:paraId="79055112" w14:textId="6066A0A4" w:rsidR="00333490" w:rsidRPr="00DA395A" w:rsidRDefault="00333490" w:rsidP="00333490">
      <w:pPr>
        <w:rPr>
          <w:rFonts w:asciiTheme="minorHAnsi" w:hAnsiTheme="minorHAnsi"/>
          <w:sz w:val="22"/>
          <w:szCs w:val="22"/>
        </w:rPr>
      </w:pPr>
      <w:r w:rsidRPr="00DA395A">
        <w:rPr>
          <w:rFonts w:asciiTheme="minorHAnsi" w:hAnsiTheme="minorHAnsi"/>
          <w:sz w:val="22"/>
          <w:szCs w:val="22"/>
        </w:rPr>
        <w:t>For the period 2014/15 at BG 66% of staff were female and 34% male.  The proportion of all male staff at BG</w:t>
      </w:r>
      <w:r w:rsidR="00F42D87">
        <w:rPr>
          <w:rFonts w:asciiTheme="minorHAnsi" w:hAnsiTheme="minorHAnsi"/>
          <w:sz w:val="22"/>
          <w:szCs w:val="22"/>
        </w:rPr>
        <w:t>U</w:t>
      </w:r>
      <w:r w:rsidRPr="00DA395A">
        <w:rPr>
          <w:rFonts w:asciiTheme="minorHAnsi" w:hAnsiTheme="minorHAnsi"/>
          <w:sz w:val="22"/>
          <w:szCs w:val="22"/>
        </w:rPr>
        <w:t xml:space="preserve"> is lower than the </w:t>
      </w:r>
      <w:r w:rsidR="007F0DCC">
        <w:rPr>
          <w:rFonts w:asciiTheme="minorHAnsi" w:hAnsiTheme="minorHAnsi"/>
          <w:sz w:val="22"/>
          <w:szCs w:val="22"/>
        </w:rPr>
        <w:t>Cathedral University Group HEI sector</w:t>
      </w:r>
      <w:r w:rsidRPr="00DA395A">
        <w:rPr>
          <w:rFonts w:asciiTheme="minorHAnsi" w:hAnsiTheme="minorHAnsi"/>
          <w:sz w:val="22"/>
          <w:szCs w:val="22"/>
        </w:rPr>
        <w:t xml:space="preserve"> average and has remained relatively constant at </w:t>
      </w:r>
      <w:r w:rsidR="00CE0C58">
        <w:rPr>
          <w:rFonts w:asciiTheme="minorHAnsi" w:hAnsiTheme="minorHAnsi"/>
          <w:sz w:val="22"/>
          <w:szCs w:val="22"/>
        </w:rPr>
        <w:t>31%,30% and 32% for the previous three years.</w:t>
      </w:r>
      <w:r w:rsidRPr="00DA395A">
        <w:rPr>
          <w:rFonts w:asciiTheme="minorHAnsi" w:hAnsiTheme="minorHAnsi"/>
          <w:sz w:val="22"/>
          <w:szCs w:val="22"/>
        </w:rPr>
        <w:t xml:space="preserve">  </w:t>
      </w:r>
    </w:p>
    <w:p w14:paraId="5D4E642F" w14:textId="77777777" w:rsidR="007F0DCC" w:rsidRDefault="007F0DCC" w:rsidP="00333490">
      <w:pPr>
        <w:rPr>
          <w:rFonts w:asciiTheme="minorHAnsi" w:hAnsiTheme="minorHAnsi"/>
          <w:sz w:val="22"/>
          <w:szCs w:val="22"/>
        </w:rPr>
      </w:pPr>
    </w:p>
    <w:p w14:paraId="17704479" w14:textId="70D531B9" w:rsidR="00E278A7" w:rsidRPr="00333BE4" w:rsidRDefault="00640F36" w:rsidP="003A6B0F">
      <w:pPr>
        <w:rPr>
          <w:rFonts w:asciiTheme="minorHAnsi" w:hAnsiTheme="minorHAnsi"/>
          <w:sz w:val="22"/>
          <w:szCs w:val="22"/>
        </w:rPr>
      </w:pPr>
      <w:r w:rsidRPr="00DA395A">
        <w:rPr>
          <w:rFonts w:asciiTheme="minorHAnsi" w:hAnsiTheme="minorHAnsi"/>
          <w:sz w:val="22"/>
          <w:szCs w:val="22"/>
        </w:rPr>
        <w:t xml:space="preserve">The </w:t>
      </w:r>
      <w:r w:rsidR="00D868EB" w:rsidRPr="00DA395A">
        <w:rPr>
          <w:rFonts w:asciiTheme="minorHAnsi" w:hAnsiTheme="minorHAnsi"/>
          <w:sz w:val="22"/>
          <w:szCs w:val="22"/>
        </w:rPr>
        <w:t>proportion</w:t>
      </w:r>
      <w:r w:rsidRPr="00DA395A">
        <w:rPr>
          <w:rFonts w:asciiTheme="minorHAnsi" w:hAnsiTheme="minorHAnsi"/>
          <w:sz w:val="22"/>
          <w:szCs w:val="22"/>
        </w:rPr>
        <w:t xml:space="preserve"> of male</w:t>
      </w:r>
      <w:r w:rsidR="00D868EB" w:rsidRPr="00DA395A">
        <w:rPr>
          <w:rFonts w:asciiTheme="minorHAnsi" w:hAnsiTheme="minorHAnsi"/>
          <w:sz w:val="22"/>
          <w:szCs w:val="22"/>
        </w:rPr>
        <w:t xml:space="preserve"> permanent</w:t>
      </w:r>
      <w:r w:rsidRPr="00DA395A">
        <w:rPr>
          <w:rFonts w:asciiTheme="minorHAnsi" w:hAnsiTheme="minorHAnsi"/>
          <w:sz w:val="22"/>
          <w:szCs w:val="22"/>
        </w:rPr>
        <w:t xml:space="preserve"> academic staff</w:t>
      </w:r>
      <w:r w:rsidR="00DA395A">
        <w:rPr>
          <w:rFonts w:asciiTheme="minorHAnsi" w:hAnsiTheme="minorHAnsi"/>
          <w:sz w:val="22"/>
          <w:szCs w:val="22"/>
        </w:rPr>
        <w:t xml:space="preserve"> (Teaching &amp; Research)</w:t>
      </w:r>
      <w:r w:rsidR="00D868EB" w:rsidRPr="00DA395A">
        <w:rPr>
          <w:rFonts w:asciiTheme="minorHAnsi" w:hAnsiTheme="minorHAnsi"/>
          <w:sz w:val="22"/>
          <w:szCs w:val="22"/>
        </w:rPr>
        <w:t xml:space="preserve"> at BG</w:t>
      </w:r>
      <w:r w:rsidR="00F42D87">
        <w:rPr>
          <w:rFonts w:asciiTheme="minorHAnsi" w:hAnsiTheme="minorHAnsi"/>
          <w:sz w:val="22"/>
          <w:szCs w:val="22"/>
        </w:rPr>
        <w:t>U</w:t>
      </w:r>
      <w:r w:rsidR="00D868EB" w:rsidRPr="00DA395A">
        <w:rPr>
          <w:rFonts w:asciiTheme="minorHAnsi" w:hAnsiTheme="minorHAnsi"/>
          <w:sz w:val="22"/>
          <w:szCs w:val="22"/>
        </w:rPr>
        <w:t xml:space="preserve"> has</w:t>
      </w:r>
      <w:r w:rsidRPr="00DA395A">
        <w:rPr>
          <w:rFonts w:asciiTheme="minorHAnsi" w:hAnsiTheme="minorHAnsi"/>
          <w:sz w:val="22"/>
          <w:szCs w:val="22"/>
        </w:rPr>
        <w:t xml:space="preserve"> increased</w:t>
      </w:r>
      <w:r w:rsidR="00D868EB" w:rsidRPr="00DA395A">
        <w:rPr>
          <w:rFonts w:asciiTheme="minorHAnsi" w:hAnsiTheme="minorHAnsi"/>
          <w:sz w:val="22"/>
          <w:szCs w:val="22"/>
        </w:rPr>
        <w:t xml:space="preserve"> from </w:t>
      </w:r>
      <w:r w:rsidR="00333490" w:rsidRPr="00DA395A">
        <w:rPr>
          <w:rFonts w:asciiTheme="minorHAnsi" w:hAnsiTheme="minorHAnsi"/>
          <w:sz w:val="22"/>
          <w:szCs w:val="22"/>
        </w:rPr>
        <w:t>30.3</w:t>
      </w:r>
      <w:r w:rsidR="00D868EB" w:rsidRPr="00DA395A">
        <w:rPr>
          <w:rFonts w:asciiTheme="minorHAnsi" w:hAnsiTheme="minorHAnsi"/>
          <w:sz w:val="22"/>
          <w:szCs w:val="22"/>
        </w:rPr>
        <w:t>% to 34.</w:t>
      </w:r>
      <w:r w:rsidR="00333490" w:rsidRPr="00DA395A">
        <w:rPr>
          <w:rFonts w:asciiTheme="minorHAnsi" w:hAnsiTheme="minorHAnsi"/>
          <w:sz w:val="22"/>
          <w:szCs w:val="22"/>
        </w:rPr>
        <w:t>8</w:t>
      </w:r>
      <w:r w:rsidR="00D868EB" w:rsidRPr="00DA395A">
        <w:rPr>
          <w:rFonts w:asciiTheme="minorHAnsi" w:hAnsiTheme="minorHAnsi"/>
          <w:sz w:val="22"/>
          <w:szCs w:val="22"/>
        </w:rPr>
        <w:t>%</w:t>
      </w:r>
      <w:r w:rsidRPr="00DA395A">
        <w:rPr>
          <w:rFonts w:asciiTheme="minorHAnsi" w:hAnsiTheme="minorHAnsi"/>
          <w:sz w:val="22"/>
          <w:szCs w:val="22"/>
        </w:rPr>
        <w:t xml:space="preserve"> </w:t>
      </w:r>
      <w:r w:rsidR="00E278A7" w:rsidRPr="00DA395A">
        <w:rPr>
          <w:rFonts w:asciiTheme="minorHAnsi" w:hAnsiTheme="minorHAnsi"/>
          <w:sz w:val="22"/>
          <w:szCs w:val="22"/>
        </w:rPr>
        <w:t xml:space="preserve">but is still below the national average </w:t>
      </w:r>
      <w:r w:rsidR="007F0DCC">
        <w:rPr>
          <w:rFonts w:asciiTheme="minorHAnsi" w:hAnsiTheme="minorHAnsi"/>
          <w:sz w:val="22"/>
          <w:szCs w:val="22"/>
        </w:rPr>
        <w:t>in comparison with the Cathedral University Group HEI sector</w:t>
      </w:r>
      <w:r w:rsidR="007F0DCC" w:rsidRPr="00DA395A">
        <w:rPr>
          <w:rFonts w:asciiTheme="minorHAnsi" w:hAnsiTheme="minorHAnsi"/>
          <w:sz w:val="22"/>
          <w:szCs w:val="22"/>
        </w:rPr>
        <w:t xml:space="preserve"> </w:t>
      </w:r>
      <w:r w:rsidR="007177D5" w:rsidRPr="00DA395A">
        <w:rPr>
          <w:rFonts w:asciiTheme="minorHAnsi" w:hAnsiTheme="minorHAnsi"/>
          <w:sz w:val="22"/>
          <w:szCs w:val="22"/>
        </w:rPr>
        <w:t>where</w:t>
      </w:r>
      <w:r w:rsidR="00E278A7" w:rsidRPr="00DA395A">
        <w:rPr>
          <w:rFonts w:asciiTheme="minorHAnsi" w:hAnsiTheme="minorHAnsi"/>
          <w:sz w:val="22"/>
          <w:szCs w:val="22"/>
        </w:rPr>
        <w:t xml:space="preserve"> </w:t>
      </w:r>
      <w:r w:rsidR="007F0DCC">
        <w:rPr>
          <w:rFonts w:asciiTheme="minorHAnsi" w:hAnsiTheme="minorHAnsi"/>
          <w:sz w:val="22"/>
          <w:szCs w:val="22"/>
        </w:rPr>
        <w:t>47</w:t>
      </w:r>
      <w:r w:rsidR="00E278A7" w:rsidRPr="00DA395A">
        <w:rPr>
          <w:rFonts w:asciiTheme="minorHAnsi" w:hAnsiTheme="minorHAnsi"/>
          <w:sz w:val="22"/>
          <w:szCs w:val="22"/>
        </w:rPr>
        <w:t xml:space="preserve">% of </w:t>
      </w:r>
      <w:r w:rsidR="00D868EB" w:rsidRPr="00DA395A">
        <w:rPr>
          <w:rFonts w:asciiTheme="minorHAnsi" w:hAnsiTheme="minorHAnsi"/>
          <w:sz w:val="22"/>
          <w:szCs w:val="22"/>
        </w:rPr>
        <w:t xml:space="preserve">all </w:t>
      </w:r>
      <w:r w:rsidR="00E278A7" w:rsidRPr="00DA395A">
        <w:rPr>
          <w:rFonts w:asciiTheme="minorHAnsi" w:hAnsiTheme="minorHAnsi"/>
          <w:sz w:val="22"/>
          <w:szCs w:val="22"/>
        </w:rPr>
        <w:t xml:space="preserve">academic staff </w:t>
      </w:r>
      <w:r w:rsidR="00DA395A">
        <w:rPr>
          <w:rFonts w:asciiTheme="minorHAnsi" w:hAnsiTheme="minorHAnsi"/>
          <w:sz w:val="22"/>
          <w:szCs w:val="22"/>
        </w:rPr>
        <w:t>(Teaching &amp; Research)</w:t>
      </w:r>
      <w:r w:rsidR="00DA395A" w:rsidRPr="00DA395A">
        <w:rPr>
          <w:rFonts w:asciiTheme="minorHAnsi" w:hAnsiTheme="minorHAnsi"/>
          <w:sz w:val="22"/>
          <w:szCs w:val="22"/>
        </w:rPr>
        <w:t xml:space="preserve"> </w:t>
      </w:r>
      <w:r w:rsidR="007177D5" w:rsidRPr="00DA395A">
        <w:rPr>
          <w:rFonts w:asciiTheme="minorHAnsi" w:hAnsiTheme="minorHAnsi"/>
          <w:sz w:val="22"/>
          <w:szCs w:val="22"/>
        </w:rPr>
        <w:t xml:space="preserve">are </w:t>
      </w:r>
      <w:r w:rsidR="00E278A7" w:rsidRPr="00DA395A">
        <w:rPr>
          <w:rFonts w:asciiTheme="minorHAnsi" w:hAnsiTheme="minorHAnsi"/>
          <w:sz w:val="22"/>
          <w:szCs w:val="22"/>
        </w:rPr>
        <w:t>male.</w:t>
      </w:r>
    </w:p>
    <w:p w14:paraId="1770447E" w14:textId="416932EE" w:rsidR="00D868EB" w:rsidRDefault="00D868EB" w:rsidP="003A6B0F">
      <w:pPr>
        <w:rPr>
          <w:rFonts w:asciiTheme="minorHAnsi" w:hAnsiTheme="minorHAnsi"/>
          <w:sz w:val="22"/>
          <w:szCs w:val="22"/>
        </w:rPr>
      </w:pPr>
    </w:p>
    <w:p w14:paraId="7BD3BCD5" w14:textId="35AF64F4" w:rsidR="00956621" w:rsidRDefault="00956621" w:rsidP="003A6B0F">
      <w:pPr>
        <w:rPr>
          <w:rFonts w:asciiTheme="minorHAnsi" w:hAnsiTheme="minorHAnsi"/>
          <w:sz w:val="22"/>
          <w:szCs w:val="22"/>
        </w:rPr>
      </w:pPr>
    </w:p>
    <w:p w14:paraId="24C0A77B" w14:textId="77777777" w:rsidR="00956621" w:rsidRPr="00333BE4" w:rsidRDefault="00956621" w:rsidP="003A6B0F">
      <w:pPr>
        <w:rPr>
          <w:rFonts w:asciiTheme="minorHAnsi" w:hAnsiTheme="minorHAnsi"/>
          <w:sz w:val="22"/>
          <w:szCs w:val="22"/>
        </w:rPr>
      </w:pPr>
    </w:p>
    <w:p w14:paraId="1770447F" w14:textId="6BA549D2" w:rsidR="00E278A7" w:rsidRDefault="009624DB" w:rsidP="003A6B0F">
      <w:pPr>
        <w:rPr>
          <w:rFonts w:asciiTheme="minorHAnsi" w:hAnsiTheme="minorHAnsi"/>
          <w:b/>
          <w:sz w:val="22"/>
          <w:szCs w:val="22"/>
        </w:rPr>
      </w:pPr>
      <w:r>
        <w:rPr>
          <w:rFonts w:asciiTheme="minorHAnsi" w:hAnsiTheme="minorHAnsi"/>
          <w:b/>
          <w:sz w:val="22"/>
          <w:szCs w:val="22"/>
        </w:rPr>
        <w:t xml:space="preserve">Staff </w:t>
      </w:r>
      <w:r w:rsidR="00B84C34" w:rsidRPr="009624DB">
        <w:rPr>
          <w:rFonts w:asciiTheme="minorHAnsi" w:hAnsiTheme="minorHAnsi"/>
          <w:b/>
          <w:sz w:val="22"/>
          <w:szCs w:val="22"/>
        </w:rPr>
        <w:t>Ethnicity</w:t>
      </w:r>
    </w:p>
    <w:p w14:paraId="40DAF200" w14:textId="77777777" w:rsidR="007F0DCC" w:rsidRDefault="007F0DCC" w:rsidP="007F0DCC">
      <w:pPr>
        <w:rPr>
          <w:rFonts w:asciiTheme="minorHAnsi" w:hAnsiTheme="minorHAnsi"/>
          <w:b/>
          <w:sz w:val="22"/>
          <w:szCs w:val="22"/>
        </w:rPr>
      </w:pPr>
    </w:p>
    <w:p w14:paraId="4349C231" w14:textId="6B0576A8" w:rsidR="007F0DCC" w:rsidRDefault="007F0DCC" w:rsidP="007F0DCC">
      <w:pPr>
        <w:rPr>
          <w:rFonts w:asciiTheme="minorHAnsi" w:hAnsiTheme="minorHAnsi"/>
          <w:b/>
          <w:sz w:val="22"/>
          <w:szCs w:val="22"/>
        </w:rPr>
      </w:pPr>
      <w:r>
        <w:rPr>
          <w:rFonts w:asciiTheme="minorHAnsi" w:hAnsiTheme="minorHAnsi"/>
          <w:b/>
          <w:sz w:val="22"/>
          <w:szCs w:val="22"/>
        </w:rPr>
        <w:t>Table</w:t>
      </w:r>
      <w:r w:rsidR="00B40F06">
        <w:rPr>
          <w:rFonts w:asciiTheme="minorHAnsi" w:hAnsiTheme="minorHAnsi"/>
          <w:b/>
          <w:sz w:val="22"/>
          <w:szCs w:val="22"/>
        </w:rPr>
        <w:t xml:space="preserve"> 2</w:t>
      </w:r>
      <w:r w:rsidRPr="00333BE4">
        <w:rPr>
          <w:rFonts w:asciiTheme="minorHAnsi" w:hAnsiTheme="minorHAnsi"/>
          <w:b/>
          <w:sz w:val="22"/>
          <w:szCs w:val="22"/>
        </w:rPr>
        <w:t xml:space="preserve">: </w:t>
      </w:r>
      <w:r w:rsidRPr="004639D7">
        <w:rPr>
          <w:rFonts w:asciiTheme="minorHAnsi" w:hAnsiTheme="minorHAnsi"/>
          <w:sz w:val="22"/>
          <w:szCs w:val="22"/>
        </w:rPr>
        <w:t>Ethnicity</w:t>
      </w:r>
      <w:r w:rsidR="00317DAD" w:rsidRPr="004639D7">
        <w:rPr>
          <w:rFonts w:asciiTheme="minorHAnsi" w:hAnsiTheme="minorHAnsi"/>
          <w:sz w:val="22"/>
          <w:szCs w:val="22"/>
        </w:rPr>
        <w:t xml:space="preserve"> of BGU staff, </w:t>
      </w:r>
      <w:r w:rsidR="00B40F06" w:rsidRPr="004639D7">
        <w:rPr>
          <w:rFonts w:asciiTheme="minorHAnsi" w:hAnsiTheme="minorHAnsi"/>
          <w:sz w:val="22"/>
          <w:szCs w:val="22"/>
        </w:rPr>
        <w:t>2010/11, 2012/13, 2013/14 and 2014/15</w:t>
      </w:r>
    </w:p>
    <w:p w14:paraId="103DCC61" w14:textId="77777777" w:rsidR="007F0DCC" w:rsidRPr="009624DB" w:rsidRDefault="007F0DCC" w:rsidP="007F0DCC">
      <w:pPr>
        <w:rPr>
          <w:rFonts w:asciiTheme="minorHAnsi" w:hAnsiTheme="minorHAnsi"/>
          <w:b/>
          <w:sz w:val="22"/>
          <w:szCs w:val="22"/>
        </w:rPr>
      </w:pPr>
    </w:p>
    <w:p w14:paraId="17704480" w14:textId="169B0FE8" w:rsidR="00C85BA5" w:rsidRDefault="00B40F06" w:rsidP="00B74603">
      <w:pPr>
        <w:jc w:val="center"/>
        <w:rPr>
          <w:rFonts w:asciiTheme="minorHAnsi" w:hAnsiTheme="minorHAnsi"/>
          <w:sz w:val="22"/>
          <w:szCs w:val="22"/>
          <w:u w:val="single"/>
        </w:rPr>
      </w:pPr>
      <w:r>
        <w:rPr>
          <w:noProof/>
        </w:rPr>
        <w:drawing>
          <wp:inline distT="0" distB="0" distL="0" distR="0" wp14:anchorId="55BDF698" wp14:editId="0A5CD142">
            <wp:extent cx="6645910" cy="154368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1543685"/>
                    </a:xfrm>
                    <a:prstGeom prst="rect">
                      <a:avLst/>
                    </a:prstGeom>
                  </pic:spPr>
                </pic:pic>
              </a:graphicData>
            </a:graphic>
          </wp:inline>
        </w:drawing>
      </w:r>
    </w:p>
    <w:p w14:paraId="297BFF40" w14:textId="77777777" w:rsidR="00956621" w:rsidRDefault="00956621" w:rsidP="00F42D87">
      <w:pPr>
        <w:rPr>
          <w:rFonts w:asciiTheme="minorHAnsi" w:hAnsiTheme="minorHAnsi"/>
          <w:sz w:val="22"/>
          <w:szCs w:val="22"/>
        </w:rPr>
      </w:pPr>
    </w:p>
    <w:p w14:paraId="0A34243F" w14:textId="4D6B53D5" w:rsidR="00F42D87" w:rsidRPr="00DA395A" w:rsidRDefault="00F42D87" w:rsidP="00F42D87">
      <w:pPr>
        <w:rPr>
          <w:rFonts w:asciiTheme="minorHAnsi" w:hAnsiTheme="minorHAnsi"/>
          <w:sz w:val="22"/>
          <w:szCs w:val="22"/>
        </w:rPr>
      </w:pPr>
      <w:r w:rsidRPr="00DA395A">
        <w:rPr>
          <w:rFonts w:asciiTheme="minorHAnsi" w:hAnsiTheme="minorHAnsi"/>
          <w:sz w:val="22"/>
          <w:szCs w:val="22"/>
        </w:rPr>
        <w:t>1.8 % (5) of B</w:t>
      </w:r>
      <w:r w:rsidRPr="00F42D87">
        <w:rPr>
          <w:rFonts w:asciiTheme="minorHAnsi" w:hAnsiTheme="minorHAnsi"/>
          <w:sz w:val="22"/>
          <w:szCs w:val="22"/>
        </w:rPr>
        <w:t xml:space="preserve">GU </w:t>
      </w:r>
      <w:r w:rsidRPr="00DA395A">
        <w:rPr>
          <w:rFonts w:asciiTheme="minorHAnsi" w:hAnsiTheme="minorHAnsi"/>
          <w:sz w:val="22"/>
          <w:szCs w:val="22"/>
        </w:rPr>
        <w:t xml:space="preserve">staff have a UK BME background; this is consistent with the previous year.  This remains a low figure when compared to the Cathedral Group HEI sector as a whole where the figure was 6.5% in 2014/15.  </w:t>
      </w:r>
    </w:p>
    <w:p w14:paraId="3C9E8E54" w14:textId="0AD40412" w:rsidR="00317DAD" w:rsidRDefault="00317DAD" w:rsidP="00B40F06">
      <w:pPr>
        <w:rPr>
          <w:rFonts w:asciiTheme="minorHAnsi" w:hAnsiTheme="minorHAnsi"/>
          <w:sz w:val="22"/>
          <w:szCs w:val="22"/>
        </w:rPr>
      </w:pPr>
    </w:p>
    <w:p w14:paraId="02ACE93B" w14:textId="49256AB1" w:rsidR="00956621" w:rsidRDefault="00956621" w:rsidP="00B40F06">
      <w:pPr>
        <w:rPr>
          <w:rFonts w:asciiTheme="minorHAnsi" w:hAnsiTheme="minorHAnsi"/>
          <w:sz w:val="22"/>
          <w:szCs w:val="22"/>
        </w:rPr>
      </w:pPr>
    </w:p>
    <w:p w14:paraId="3B7AD973" w14:textId="0BBCE2FB" w:rsidR="00956621" w:rsidRDefault="00956621" w:rsidP="00B40F06">
      <w:pPr>
        <w:rPr>
          <w:rFonts w:asciiTheme="minorHAnsi" w:hAnsiTheme="minorHAnsi"/>
          <w:sz w:val="22"/>
          <w:szCs w:val="22"/>
        </w:rPr>
      </w:pPr>
    </w:p>
    <w:p w14:paraId="685C621E" w14:textId="48BA63D5" w:rsidR="00956621" w:rsidRDefault="00956621" w:rsidP="00B40F06">
      <w:pPr>
        <w:rPr>
          <w:rFonts w:asciiTheme="minorHAnsi" w:hAnsiTheme="minorHAnsi"/>
          <w:sz w:val="22"/>
          <w:szCs w:val="22"/>
        </w:rPr>
      </w:pPr>
    </w:p>
    <w:p w14:paraId="3194AF1B" w14:textId="266F983A" w:rsidR="00956621" w:rsidRDefault="00956621" w:rsidP="00B40F06">
      <w:pPr>
        <w:rPr>
          <w:rFonts w:asciiTheme="minorHAnsi" w:hAnsiTheme="minorHAnsi"/>
          <w:sz w:val="22"/>
          <w:szCs w:val="22"/>
        </w:rPr>
      </w:pPr>
    </w:p>
    <w:p w14:paraId="222FA5B0" w14:textId="6E4A9533" w:rsidR="00956621" w:rsidRDefault="00956621" w:rsidP="00B40F06">
      <w:pPr>
        <w:rPr>
          <w:rFonts w:asciiTheme="minorHAnsi" w:hAnsiTheme="minorHAnsi"/>
          <w:sz w:val="22"/>
          <w:szCs w:val="22"/>
        </w:rPr>
      </w:pPr>
    </w:p>
    <w:p w14:paraId="3E4AA4C3" w14:textId="7BD1BCE6" w:rsidR="00956621" w:rsidRDefault="00956621" w:rsidP="00B40F06">
      <w:pPr>
        <w:rPr>
          <w:rFonts w:asciiTheme="minorHAnsi" w:hAnsiTheme="minorHAnsi"/>
          <w:sz w:val="22"/>
          <w:szCs w:val="22"/>
        </w:rPr>
      </w:pPr>
    </w:p>
    <w:p w14:paraId="3848B3DF" w14:textId="0E2C4941" w:rsidR="00956621" w:rsidRDefault="00956621" w:rsidP="00B40F06">
      <w:pPr>
        <w:rPr>
          <w:rFonts w:asciiTheme="minorHAnsi" w:hAnsiTheme="minorHAnsi"/>
          <w:sz w:val="22"/>
          <w:szCs w:val="22"/>
        </w:rPr>
      </w:pPr>
    </w:p>
    <w:p w14:paraId="5403091F" w14:textId="40F0CE5A" w:rsidR="00956621" w:rsidRDefault="00956621" w:rsidP="00B40F06">
      <w:pPr>
        <w:rPr>
          <w:rFonts w:asciiTheme="minorHAnsi" w:hAnsiTheme="minorHAnsi"/>
          <w:sz w:val="22"/>
          <w:szCs w:val="22"/>
        </w:rPr>
      </w:pPr>
    </w:p>
    <w:p w14:paraId="205D9047" w14:textId="6FD9E481" w:rsidR="00956621" w:rsidRDefault="00956621" w:rsidP="00B40F06">
      <w:pPr>
        <w:rPr>
          <w:rFonts w:asciiTheme="minorHAnsi" w:hAnsiTheme="minorHAnsi"/>
          <w:sz w:val="22"/>
          <w:szCs w:val="22"/>
        </w:rPr>
      </w:pPr>
    </w:p>
    <w:p w14:paraId="15202DDD" w14:textId="77777777" w:rsidR="00956621" w:rsidRDefault="00956621" w:rsidP="00B40F06">
      <w:pPr>
        <w:rPr>
          <w:rFonts w:asciiTheme="minorHAnsi" w:hAnsiTheme="minorHAnsi"/>
          <w:sz w:val="22"/>
          <w:szCs w:val="22"/>
        </w:rPr>
      </w:pPr>
    </w:p>
    <w:p w14:paraId="7A971FEE" w14:textId="0ADF7CF7" w:rsidR="00956621" w:rsidRDefault="007F0DCC" w:rsidP="007F0DCC">
      <w:pPr>
        <w:rPr>
          <w:rFonts w:asciiTheme="minorHAnsi" w:hAnsiTheme="minorHAnsi"/>
          <w:sz w:val="22"/>
          <w:szCs w:val="22"/>
        </w:rPr>
      </w:pPr>
      <w:r>
        <w:rPr>
          <w:rFonts w:asciiTheme="minorHAnsi" w:hAnsiTheme="minorHAnsi"/>
          <w:b/>
          <w:sz w:val="22"/>
          <w:szCs w:val="22"/>
        </w:rPr>
        <w:lastRenderedPageBreak/>
        <w:t xml:space="preserve">Figure1. </w:t>
      </w:r>
      <w:r w:rsidRPr="007F0DCC">
        <w:rPr>
          <w:rFonts w:asciiTheme="minorHAnsi" w:hAnsiTheme="minorHAnsi"/>
          <w:sz w:val="22"/>
          <w:szCs w:val="22"/>
        </w:rPr>
        <w:t>Ethnicity in Comparison with Cathedral University</w:t>
      </w:r>
      <w:r w:rsidR="00F50F75">
        <w:rPr>
          <w:rFonts w:asciiTheme="minorHAnsi" w:hAnsiTheme="minorHAnsi"/>
          <w:sz w:val="22"/>
          <w:szCs w:val="22"/>
        </w:rPr>
        <w:t xml:space="preserve"> Group</w:t>
      </w:r>
    </w:p>
    <w:p w14:paraId="3AC9B62B" w14:textId="77777777" w:rsidR="00956621" w:rsidRDefault="00956621" w:rsidP="007F0DCC">
      <w:pPr>
        <w:rPr>
          <w:rFonts w:asciiTheme="minorHAnsi" w:hAnsiTheme="minorHAnsi"/>
          <w:sz w:val="22"/>
          <w:szCs w:val="22"/>
        </w:rPr>
      </w:pPr>
    </w:p>
    <w:p w14:paraId="63656858" w14:textId="5C9927C2" w:rsidR="007F0DCC" w:rsidRDefault="00B40F06" w:rsidP="007F0DCC">
      <w:pPr>
        <w:rPr>
          <w:rFonts w:asciiTheme="minorHAnsi" w:hAnsiTheme="minorHAnsi"/>
          <w:sz w:val="22"/>
          <w:szCs w:val="22"/>
        </w:rPr>
      </w:pPr>
      <w:r w:rsidRPr="006C6718">
        <w:rPr>
          <w:noProof/>
        </w:rPr>
        <w:drawing>
          <wp:inline distT="0" distB="0" distL="0" distR="0" wp14:anchorId="76FCDA7E" wp14:editId="4CDC80E3">
            <wp:extent cx="6438900" cy="2428240"/>
            <wp:effectExtent l="0" t="0" r="0" b="0"/>
            <wp:docPr id="13" name="Picture 13" descr="C:\Users\TShaw\Cache\Content.IE5\UH45Y4L6\Ethnicity comparison with the Cathedral Group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haw\Cache\Content.IE5\UH45Y4L6\Ethnicity comparison with the Cathedral Group .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3574" cy="2437545"/>
                    </a:xfrm>
                    <a:prstGeom prst="rect">
                      <a:avLst/>
                    </a:prstGeom>
                    <a:noFill/>
                    <a:ln>
                      <a:noFill/>
                    </a:ln>
                  </pic:spPr>
                </pic:pic>
              </a:graphicData>
            </a:graphic>
          </wp:inline>
        </w:drawing>
      </w:r>
      <w:r w:rsidR="007F0DCC" w:rsidRPr="007F0DCC">
        <w:rPr>
          <w:rFonts w:asciiTheme="minorHAnsi" w:hAnsiTheme="minorHAnsi"/>
          <w:sz w:val="22"/>
          <w:szCs w:val="22"/>
        </w:rPr>
        <w:t xml:space="preserve"> </w:t>
      </w:r>
    </w:p>
    <w:p w14:paraId="781334C7" w14:textId="1A23DEFD" w:rsidR="00D92929" w:rsidRPr="00333BE4" w:rsidRDefault="00D92929" w:rsidP="00D92929">
      <w:pPr>
        <w:jc w:val="center"/>
        <w:rPr>
          <w:rFonts w:asciiTheme="minorHAnsi" w:hAnsiTheme="minorHAnsi"/>
          <w:sz w:val="22"/>
          <w:szCs w:val="22"/>
          <w:u w:val="single"/>
        </w:rPr>
      </w:pPr>
    </w:p>
    <w:p w14:paraId="4E54E371" w14:textId="77777777" w:rsidR="00D92929" w:rsidRDefault="00D92929" w:rsidP="009624DB">
      <w:pPr>
        <w:ind w:left="720"/>
        <w:rPr>
          <w:rFonts w:asciiTheme="minorHAnsi" w:hAnsiTheme="minorHAnsi"/>
          <w:sz w:val="22"/>
          <w:szCs w:val="22"/>
        </w:rPr>
      </w:pPr>
    </w:p>
    <w:p w14:paraId="0DFF5330" w14:textId="77777777" w:rsidR="00F42D87" w:rsidRDefault="00F42D87" w:rsidP="00F42D87">
      <w:pPr>
        <w:rPr>
          <w:rFonts w:asciiTheme="minorHAnsi" w:hAnsiTheme="minorHAnsi"/>
          <w:sz w:val="22"/>
          <w:szCs w:val="22"/>
        </w:rPr>
      </w:pPr>
      <w:r w:rsidRPr="00DA395A">
        <w:rPr>
          <w:rFonts w:asciiTheme="minorHAnsi" w:hAnsiTheme="minorHAnsi"/>
          <w:sz w:val="22"/>
          <w:szCs w:val="22"/>
        </w:rPr>
        <w:t>All of these staff at BG</w:t>
      </w:r>
      <w:r>
        <w:rPr>
          <w:rFonts w:asciiTheme="minorHAnsi" w:hAnsiTheme="minorHAnsi"/>
          <w:sz w:val="22"/>
          <w:szCs w:val="22"/>
        </w:rPr>
        <w:t>U</w:t>
      </w:r>
      <w:r w:rsidRPr="00DA395A">
        <w:rPr>
          <w:rFonts w:asciiTheme="minorHAnsi" w:hAnsiTheme="minorHAnsi"/>
          <w:sz w:val="22"/>
          <w:szCs w:val="22"/>
        </w:rPr>
        <w:t xml:space="preserve"> are female and there are no males from a BME background.  Al</w:t>
      </w:r>
      <w:r>
        <w:rPr>
          <w:rFonts w:asciiTheme="minorHAnsi" w:hAnsiTheme="minorHAnsi"/>
          <w:sz w:val="22"/>
          <w:szCs w:val="22"/>
        </w:rPr>
        <w:t>l</w:t>
      </w:r>
      <w:r w:rsidRPr="00DA395A">
        <w:rPr>
          <w:rFonts w:asciiTheme="minorHAnsi" w:hAnsiTheme="minorHAnsi"/>
          <w:sz w:val="22"/>
          <w:szCs w:val="22"/>
        </w:rPr>
        <w:t xml:space="preserve"> of these staff are on permanent contracts.  Increasing the number of BME staff will remain as an item to address within the equality aims.  Applications and appointments of BME individuals are monitored by the committee and the figures are illustrated here.</w:t>
      </w:r>
    </w:p>
    <w:p w14:paraId="68B36E33" w14:textId="2A2DD690" w:rsidR="00F42D87" w:rsidRDefault="00F42D87" w:rsidP="004639D7">
      <w:pPr>
        <w:rPr>
          <w:rFonts w:asciiTheme="minorHAnsi" w:hAnsiTheme="minorHAnsi"/>
          <w:sz w:val="22"/>
          <w:szCs w:val="22"/>
        </w:rPr>
      </w:pPr>
    </w:p>
    <w:p w14:paraId="1B73FDA8" w14:textId="297BA816" w:rsidR="004639D7" w:rsidRPr="004639D7" w:rsidRDefault="004639D7" w:rsidP="004639D7">
      <w:pPr>
        <w:rPr>
          <w:rFonts w:ascii="Calibri" w:hAnsi="Calibri"/>
          <w:bCs/>
          <w:color w:val="000000"/>
          <w:sz w:val="22"/>
          <w:szCs w:val="22"/>
        </w:rPr>
      </w:pPr>
      <w:r w:rsidRPr="004639D7">
        <w:rPr>
          <w:rFonts w:asciiTheme="minorHAnsi" w:hAnsiTheme="minorHAnsi"/>
          <w:b/>
          <w:sz w:val="22"/>
          <w:szCs w:val="22"/>
        </w:rPr>
        <w:t>Table 3:</w:t>
      </w:r>
      <w:r w:rsidRPr="004639D7">
        <w:rPr>
          <w:rFonts w:asciiTheme="minorHAnsi" w:hAnsiTheme="minorHAnsi"/>
          <w:sz w:val="22"/>
          <w:szCs w:val="22"/>
        </w:rPr>
        <w:t xml:space="preserve"> </w:t>
      </w:r>
      <w:r w:rsidRPr="004639D7">
        <w:rPr>
          <w:rFonts w:ascii="Calibri" w:hAnsi="Calibri"/>
          <w:bCs/>
          <w:color w:val="000000"/>
          <w:sz w:val="22"/>
          <w:szCs w:val="22"/>
        </w:rPr>
        <w:t>Staff characteristics all levels, including casuals 2014/15</w:t>
      </w:r>
    </w:p>
    <w:p w14:paraId="3B8D29D4" w14:textId="459B205C" w:rsidR="004639D7" w:rsidRDefault="004639D7" w:rsidP="004639D7">
      <w:pPr>
        <w:rPr>
          <w:rFonts w:asciiTheme="minorHAnsi" w:hAnsiTheme="minorHAnsi"/>
          <w:sz w:val="22"/>
          <w:szCs w:val="22"/>
        </w:rPr>
      </w:pPr>
    </w:p>
    <w:p w14:paraId="4768A5E1" w14:textId="47D04BD2" w:rsidR="00F42D87" w:rsidRDefault="00F42D87" w:rsidP="003A6B0F">
      <w:pPr>
        <w:rPr>
          <w:rFonts w:asciiTheme="minorHAnsi" w:hAnsiTheme="minorHAnsi"/>
          <w:sz w:val="22"/>
          <w:szCs w:val="22"/>
        </w:rPr>
      </w:pPr>
    </w:p>
    <w:p w14:paraId="6E73ACAE" w14:textId="098234EE" w:rsidR="00F42D87" w:rsidRDefault="004639D7" w:rsidP="00956621">
      <w:pPr>
        <w:jc w:val="center"/>
        <w:rPr>
          <w:rFonts w:asciiTheme="minorHAnsi" w:hAnsiTheme="minorHAnsi"/>
          <w:sz w:val="22"/>
          <w:szCs w:val="22"/>
        </w:rPr>
      </w:pPr>
      <w:r>
        <w:rPr>
          <w:noProof/>
        </w:rPr>
        <w:drawing>
          <wp:inline distT="0" distB="0" distL="0" distR="0" wp14:anchorId="63355378" wp14:editId="5AD8830A">
            <wp:extent cx="4981020" cy="42195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05052" cy="4239934"/>
                    </a:xfrm>
                    <a:prstGeom prst="rect">
                      <a:avLst/>
                    </a:prstGeom>
                  </pic:spPr>
                </pic:pic>
              </a:graphicData>
            </a:graphic>
          </wp:inline>
        </w:drawing>
      </w:r>
    </w:p>
    <w:p w14:paraId="0166F57C" w14:textId="25F1D02C" w:rsidR="00F42D87" w:rsidRDefault="00F42D87" w:rsidP="003A6B0F">
      <w:pPr>
        <w:rPr>
          <w:rFonts w:asciiTheme="minorHAnsi" w:hAnsiTheme="minorHAnsi"/>
          <w:sz w:val="22"/>
          <w:szCs w:val="22"/>
        </w:rPr>
      </w:pPr>
    </w:p>
    <w:p w14:paraId="48CBFBAE" w14:textId="77777777" w:rsidR="00F42D87" w:rsidRDefault="00F42D87" w:rsidP="003A6B0F">
      <w:pPr>
        <w:rPr>
          <w:rFonts w:asciiTheme="minorHAnsi" w:hAnsiTheme="minorHAnsi"/>
          <w:sz w:val="22"/>
          <w:szCs w:val="22"/>
        </w:rPr>
      </w:pPr>
    </w:p>
    <w:p w14:paraId="695DDEE3" w14:textId="77777777" w:rsidR="00DA395A" w:rsidRPr="00333BE4" w:rsidRDefault="00DA395A" w:rsidP="003A6B0F">
      <w:pPr>
        <w:rPr>
          <w:rFonts w:asciiTheme="minorHAnsi" w:hAnsiTheme="minorHAnsi"/>
          <w:sz w:val="22"/>
          <w:szCs w:val="22"/>
        </w:rPr>
      </w:pPr>
    </w:p>
    <w:p w14:paraId="17704483" w14:textId="20D3A0B7" w:rsidR="000E24DC" w:rsidRDefault="009624DB" w:rsidP="003A6B0F">
      <w:pPr>
        <w:rPr>
          <w:rFonts w:asciiTheme="minorHAnsi" w:hAnsiTheme="minorHAnsi"/>
          <w:b/>
          <w:sz w:val="22"/>
          <w:szCs w:val="22"/>
        </w:rPr>
      </w:pPr>
      <w:r>
        <w:rPr>
          <w:rFonts w:asciiTheme="minorHAnsi" w:hAnsiTheme="minorHAnsi"/>
          <w:b/>
          <w:sz w:val="22"/>
          <w:szCs w:val="22"/>
        </w:rPr>
        <w:t xml:space="preserve">Staff </w:t>
      </w:r>
      <w:r w:rsidR="00B84C34" w:rsidRPr="009624DB">
        <w:rPr>
          <w:rFonts w:asciiTheme="minorHAnsi" w:hAnsiTheme="minorHAnsi"/>
          <w:b/>
          <w:sz w:val="22"/>
          <w:szCs w:val="22"/>
        </w:rPr>
        <w:t>Disability</w:t>
      </w:r>
    </w:p>
    <w:p w14:paraId="168390A0" w14:textId="71813309" w:rsidR="00744162" w:rsidRDefault="00744162" w:rsidP="00744162">
      <w:pPr>
        <w:jc w:val="center"/>
        <w:rPr>
          <w:rFonts w:asciiTheme="minorHAnsi" w:hAnsiTheme="minorHAnsi"/>
          <w:b/>
          <w:sz w:val="22"/>
          <w:szCs w:val="22"/>
          <w:u w:val="single"/>
        </w:rPr>
      </w:pPr>
    </w:p>
    <w:p w14:paraId="16E39F72" w14:textId="4A764258" w:rsidR="004639D7" w:rsidRPr="00956621" w:rsidRDefault="00956621" w:rsidP="00956621">
      <w:pPr>
        <w:rPr>
          <w:rFonts w:ascii="Calibri" w:hAnsi="Calibri"/>
          <w:b/>
          <w:bCs/>
          <w:color w:val="000000"/>
          <w:sz w:val="22"/>
          <w:szCs w:val="22"/>
        </w:rPr>
      </w:pPr>
      <w:r w:rsidRPr="00956621">
        <w:rPr>
          <w:rFonts w:ascii="Calibri" w:hAnsi="Calibri"/>
          <w:b/>
          <w:bCs/>
          <w:color w:val="000000"/>
          <w:sz w:val="22"/>
          <w:szCs w:val="22"/>
        </w:rPr>
        <w:t xml:space="preserve">Table 4: </w:t>
      </w:r>
      <w:r w:rsidRPr="00956621">
        <w:rPr>
          <w:rFonts w:ascii="Calibri" w:hAnsi="Calibri"/>
          <w:bCs/>
          <w:color w:val="000000"/>
          <w:sz w:val="22"/>
          <w:szCs w:val="22"/>
        </w:rPr>
        <w:t>Disability declaration of BGU staff</w:t>
      </w:r>
      <w:r w:rsidR="004639D7" w:rsidRPr="00956621">
        <w:rPr>
          <w:rFonts w:ascii="Calibri" w:hAnsi="Calibri"/>
          <w:bCs/>
          <w:color w:val="000000"/>
          <w:sz w:val="22"/>
          <w:szCs w:val="22"/>
        </w:rPr>
        <w:t xml:space="preserve">, </w:t>
      </w:r>
      <w:r w:rsidRPr="00956621">
        <w:rPr>
          <w:rFonts w:asciiTheme="minorHAnsi" w:hAnsiTheme="minorHAnsi"/>
          <w:sz w:val="22"/>
          <w:szCs w:val="22"/>
        </w:rPr>
        <w:t>2010/11, 2012/13, 2013/14 and 2014/15</w:t>
      </w:r>
    </w:p>
    <w:p w14:paraId="048FCAAC" w14:textId="77777777" w:rsidR="004639D7" w:rsidRDefault="004639D7" w:rsidP="00744162">
      <w:pPr>
        <w:jc w:val="center"/>
        <w:rPr>
          <w:rFonts w:asciiTheme="minorHAnsi" w:hAnsiTheme="minorHAnsi"/>
          <w:b/>
          <w:sz w:val="22"/>
          <w:szCs w:val="22"/>
          <w:u w:val="single"/>
        </w:rPr>
      </w:pPr>
    </w:p>
    <w:p w14:paraId="1C4FA0E6" w14:textId="11B89592" w:rsidR="00744162" w:rsidRPr="00B84C34" w:rsidRDefault="002A70B6" w:rsidP="00744162">
      <w:pPr>
        <w:jc w:val="center"/>
        <w:rPr>
          <w:rFonts w:asciiTheme="minorHAnsi" w:hAnsiTheme="minorHAnsi"/>
          <w:b/>
          <w:sz w:val="22"/>
          <w:szCs w:val="22"/>
          <w:u w:val="single"/>
        </w:rPr>
      </w:pPr>
      <w:r>
        <w:rPr>
          <w:noProof/>
        </w:rPr>
        <w:drawing>
          <wp:inline distT="0" distB="0" distL="0" distR="0" wp14:anchorId="3C3ADF14" wp14:editId="76544BD3">
            <wp:extent cx="6567916" cy="101600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68317" cy="1016062"/>
                    </a:xfrm>
                    <a:prstGeom prst="rect">
                      <a:avLst/>
                    </a:prstGeom>
                  </pic:spPr>
                </pic:pic>
              </a:graphicData>
            </a:graphic>
          </wp:inline>
        </w:drawing>
      </w:r>
    </w:p>
    <w:p w14:paraId="5F4F9B37" w14:textId="77777777" w:rsidR="002A70B6" w:rsidRDefault="002A70B6" w:rsidP="00F63C5F">
      <w:pPr>
        <w:ind w:left="720"/>
        <w:rPr>
          <w:rFonts w:asciiTheme="minorHAnsi" w:hAnsiTheme="minorHAnsi"/>
          <w:sz w:val="22"/>
          <w:szCs w:val="22"/>
        </w:rPr>
      </w:pPr>
    </w:p>
    <w:p w14:paraId="04DDD720" w14:textId="4A8CAA65" w:rsidR="00744162" w:rsidRDefault="002A70B6" w:rsidP="00F63C5F">
      <w:pPr>
        <w:ind w:left="720"/>
        <w:rPr>
          <w:rFonts w:asciiTheme="minorHAnsi" w:hAnsiTheme="minorHAnsi"/>
          <w:sz w:val="22"/>
          <w:szCs w:val="22"/>
        </w:rPr>
      </w:pPr>
      <w:r>
        <w:rPr>
          <w:rFonts w:asciiTheme="minorHAnsi" w:hAnsiTheme="minorHAnsi"/>
          <w:sz w:val="22"/>
          <w:szCs w:val="22"/>
        </w:rPr>
        <w:t>9.6</w:t>
      </w:r>
      <w:r w:rsidR="00744162">
        <w:rPr>
          <w:rFonts w:asciiTheme="minorHAnsi" w:hAnsiTheme="minorHAnsi"/>
          <w:sz w:val="22"/>
          <w:szCs w:val="22"/>
        </w:rPr>
        <w:t>% (25</w:t>
      </w:r>
      <w:r w:rsidR="00ED4F5B" w:rsidRPr="00333BE4">
        <w:rPr>
          <w:rFonts w:asciiTheme="minorHAnsi" w:hAnsiTheme="minorHAnsi"/>
          <w:sz w:val="22"/>
          <w:szCs w:val="22"/>
        </w:rPr>
        <w:t xml:space="preserve">) </w:t>
      </w:r>
      <w:r w:rsidR="009C145B" w:rsidRPr="00333BE4">
        <w:rPr>
          <w:rFonts w:asciiTheme="minorHAnsi" w:hAnsiTheme="minorHAnsi"/>
          <w:sz w:val="22"/>
          <w:szCs w:val="22"/>
        </w:rPr>
        <w:t xml:space="preserve">of BG </w:t>
      </w:r>
      <w:r w:rsidR="00ED4F5B" w:rsidRPr="00333BE4">
        <w:rPr>
          <w:rFonts w:asciiTheme="minorHAnsi" w:hAnsiTheme="minorHAnsi"/>
          <w:sz w:val="22"/>
          <w:szCs w:val="22"/>
        </w:rPr>
        <w:t xml:space="preserve">staff </w:t>
      </w:r>
      <w:r w:rsidR="009C145B" w:rsidRPr="00333BE4">
        <w:rPr>
          <w:rFonts w:asciiTheme="minorHAnsi" w:hAnsiTheme="minorHAnsi"/>
          <w:sz w:val="22"/>
          <w:szCs w:val="22"/>
        </w:rPr>
        <w:t>declared a</w:t>
      </w:r>
      <w:r w:rsidR="00ED4F5B" w:rsidRPr="00333BE4">
        <w:rPr>
          <w:rFonts w:asciiTheme="minorHAnsi" w:hAnsiTheme="minorHAnsi"/>
          <w:sz w:val="22"/>
          <w:szCs w:val="22"/>
        </w:rPr>
        <w:t xml:space="preserve"> disabi</w:t>
      </w:r>
      <w:r w:rsidR="009C145B" w:rsidRPr="00333BE4">
        <w:rPr>
          <w:rFonts w:asciiTheme="minorHAnsi" w:hAnsiTheme="minorHAnsi"/>
          <w:sz w:val="22"/>
          <w:szCs w:val="22"/>
        </w:rPr>
        <w:t>l</w:t>
      </w:r>
      <w:r w:rsidR="00ED4F5B" w:rsidRPr="00333BE4">
        <w:rPr>
          <w:rFonts w:asciiTheme="minorHAnsi" w:hAnsiTheme="minorHAnsi"/>
          <w:sz w:val="22"/>
          <w:szCs w:val="22"/>
        </w:rPr>
        <w:t>ity</w:t>
      </w:r>
      <w:r w:rsidR="009C145B" w:rsidRPr="00333BE4">
        <w:rPr>
          <w:rFonts w:asciiTheme="minorHAnsi" w:hAnsiTheme="minorHAnsi"/>
          <w:sz w:val="22"/>
          <w:szCs w:val="22"/>
        </w:rPr>
        <w:t xml:space="preserve">. </w:t>
      </w:r>
      <w:r w:rsidR="00F63C5F">
        <w:rPr>
          <w:rFonts w:asciiTheme="minorHAnsi" w:hAnsiTheme="minorHAnsi"/>
          <w:sz w:val="22"/>
          <w:szCs w:val="22"/>
        </w:rPr>
        <w:t xml:space="preserve">This is slightly higher than the </w:t>
      </w:r>
      <w:r w:rsidR="00F63C5F" w:rsidRPr="00DA395A">
        <w:rPr>
          <w:rFonts w:asciiTheme="minorHAnsi" w:hAnsiTheme="minorHAnsi"/>
          <w:sz w:val="22"/>
          <w:szCs w:val="22"/>
        </w:rPr>
        <w:t>Cathedral Group HEI sector</w:t>
      </w:r>
      <w:r w:rsidR="00F63C5F">
        <w:rPr>
          <w:rFonts w:asciiTheme="minorHAnsi" w:hAnsiTheme="minorHAnsi"/>
          <w:sz w:val="22"/>
          <w:szCs w:val="22"/>
        </w:rPr>
        <w:t xml:space="preserve"> average where 6.15% of staff disclosed as being disabled.</w:t>
      </w:r>
    </w:p>
    <w:p w14:paraId="01F3A780" w14:textId="1A7ADA8E" w:rsidR="00956621" w:rsidRDefault="00956621" w:rsidP="00956621">
      <w:pPr>
        <w:rPr>
          <w:rFonts w:asciiTheme="minorHAnsi" w:hAnsiTheme="minorHAnsi"/>
          <w:sz w:val="22"/>
          <w:szCs w:val="22"/>
        </w:rPr>
      </w:pPr>
    </w:p>
    <w:p w14:paraId="3CCCE10D" w14:textId="77777777" w:rsidR="00956621" w:rsidRDefault="00956621" w:rsidP="009624DB">
      <w:pPr>
        <w:ind w:left="720"/>
        <w:rPr>
          <w:rFonts w:asciiTheme="minorHAnsi" w:hAnsiTheme="minorHAnsi"/>
          <w:sz w:val="22"/>
          <w:szCs w:val="22"/>
        </w:rPr>
      </w:pPr>
    </w:p>
    <w:p w14:paraId="750E4B0E" w14:textId="29FD603A" w:rsidR="00744162" w:rsidRDefault="00956621" w:rsidP="00F63C5F">
      <w:pPr>
        <w:rPr>
          <w:rFonts w:asciiTheme="minorHAnsi" w:hAnsiTheme="minorHAnsi"/>
          <w:sz w:val="22"/>
          <w:szCs w:val="22"/>
        </w:rPr>
      </w:pPr>
      <w:r w:rsidRPr="00956621">
        <w:rPr>
          <w:rFonts w:asciiTheme="minorHAnsi" w:hAnsiTheme="minorHAnsi"/>
          <w:b/>
          <w:sz w:val="22"/>
          <w:szCs w:val="22"/>
        </w:rPr>
        <w:t>Figure 2:</w:t>
      </w:r>
      <w:r>
        <w:rPr>
          <w:rFonts w:asciiTheme="minorHAnsi" w:hAnsiTheme="minorHAnsi"/>
          <w:sz w:val="22"/>
          <w:szCs w:val="22"/>
        </w:rPr>
        <w:t xml:space="preserve"> Disability comparison with the Cathedral University Group</w:t>
      </w:r>
    </w:p>
    <w:p w14:paraId="78615508" w14:textId="77777777" w:rsidR="00956621" w:rsidRDefault="00956621" w:rsidP="00F63C5F">
      <w:pPr>
        <w:rPr>
          <w:rFonts w:asciiTheme="minorHAnsi" w:hAnsiTheme="minorHAnsi"/>
          <w:sz w:val="22"/>
          <w:szCs w:val="22"/>
        </w:rPr>
      </w:pPr>
    </w:p>
    <w:p w14:paraId="6EF9F90D" w14:textId="65A7D25D" w:rsidR="0005585D" w:rsidRPr="0005585D" w:rsidRDefault="002A70B6" w:rsidP="002A70B6">
      <w:pPr>
        <w:autoSpaceDE w:val="0"/>
        <w:autoSpaceDN w:val="0"/>
        <w:adjustRightInd w:val="0"/>
        <w:jc w:val="center"/>
        <w:rPr>
          <w:rFonts w:ascii="Arial" w:hAnsi="Arial" w:cs="Arial"/>
          <w:color w:val="000000"/>
        </w:rPr>
      </w:pPr>
      <w:r>
        <w:rPr>
          <w:noProof/>
        </w:rPr>
        <w:drawing>
          <wp:inline distT="0" distB="0" distL="0" distR="0" wp14:anchorId="723E369D" wp14:editId="57C21667">
            <wp:extent cx="5740400" cy="314882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0554" cy="3154398"/>
                    </a:xfrm>
                    <a:prstGeom prst="rect">
                      <a:avLst/>
                    </a:prstGeom>
                  </pic:spPr>
                </pic:pic>
              </a:graphicData>
            </a:graphic>
          </wp:inline>
        </w:drawing>
      </w:r>
    </w:p>
    <w:p w14:paraId="7EB78CA6" w14:textId="77777777" w:rsidR="007B2BF0" w:rsidRDefault="0005585D" w:rsidP="007B2BF0">
      <w:pPr>
        <w:rPr>
          <w:rFonts w:ascii="Arial" w:hAnsi="Arial" w:cs="Arial"/>
          <w:color w:val="000000"/>
        </w:rPr>
      </w:pPr>
      <w:r w:rsidRPr="0005585D">
        <w:rPr>
          <w:rFonts w:ascii="Arial" w:hAnsi="Arial" w:cs="Arial"/>
          <w:color w:val="000000"/>
        </w:rPr>
        <w:t xml:space="preserve"> </w:t>
      </w:r>
      <w:r w:rsidR="00013E17">
        <w:rPr>
          <w:rFonts w:ascii="Arial" w:hAnsi="Arial" w:cs="Arial"/>
          <w:color w:val="000000"/>
        </w:rPr>
        <w:t xml:space="preserve">      </w:t>
      </w:r>
    </w:p>
    <w:p w14:paraId="7F7E3C2E" w14:textId="693C7183" w:rsidR="007B2BF0" w:rsidRDefault="009D709A" w:rsidP="007B2BF0">
      <w:pPr>
        <w:rPr>
          <w:rFonts w:asciiTheme="minorHAnsi" w:hAnsiTheme="minorHAnsi"/>
          <w:b/>
          <w:sz w:val="22"/>
          <w:szCs w:val="22"/>
        </w:rPr>
      </w:pPr>
      <w:r>
        <w:rPr>
          <w:rFonts w:asciiTheme="minorHAnsi" w:hAnsiTheme="minorHAnsi"/>
          <w:b/>
          <w:sz w:val="22"/>
          <w:szCs w:val="22"/>
        </w:rPr>
        <w:t>Table 5</w:t>
      </w:r>
      <w:r w:rsidR="007B2BF0" w:rsidRPr="00333BE4">
        <w:rPr>
          <w:rFonts w:asciiTheme="minorHAnsi" w:hAnsiTheme="minorHAnsi"/>
          <w:b/>
          <w:sz w:val="22"/>
          <w:szCs w:val="22"/>
        </w:rPr>
        <w:t xml:space="preserve">: </w:t>
      </w:r>
      <w:r w:rsidR="007B2BF0">
        <w:rPr>
          <w:rFonts w:asciiTheme="minorHAnsi" w:hAnsiTheme="minorHAnsi"/>
          <w:b/>
          <w:sz w:val="22"/>
          <w:szCs w:val="22"/>
        </w:rPr>
        <w:t xml:space="preserve"> BGU staff Disability Reasons, </w:t>
      </w:r>
      <w:r w:rsidR="007B2BF0" w:rsidRPr="00333BE4">
        <w:rPr>
          <w:rFonts w:asciiTheme="minorHAnsi" w:hAnsiTheme="minorHAnsi"/>
          <w:b/>
          <w:sz w:val="22"/>
          <w:szCs w:val="22"/>
        </w:rPr>
        <w:t>2014/15</w:t>
      </w:r>
    </w:p>
    <w:p w14:paraId="6EEED21A" w14:textId="4210F529" w:rsidR="00B74603" w:rsidRDefault="00013E17" w:rsidP="00B74603">
      <w:pPr>
        <w:rPr>
          <w:rFonts w:asciiTheme="minorHAnsi" w:hAnsiTheme="minorHAnsi" w:cs="Courier New"/>
          <w:color w:val="000000"/>
          <w:sz w:val="20"/>
          <w:szCs w:val="20"/>
        </w:rPr>
      </w:pPr>
      <w:r>
        <w:rPr>
          <w:rFonts w:ascii="Arial" w:hAnsi="Arial" w:cs="Arial"/>
          <w:color w:val="000000"/>
        </w:rPr>
        <w:t xml:space="preserve">   </w:t>
      </w:r>
      <w:r w:rsidR="0005585D" w:rsidRPr="0005585D">
        <w:rPr>
          <w:rFonts w:asciiTheme="minorHAnsi" w:hAnsiTheme="minorHAnsi" w:cs="Courier New"/>
          <w:color w:val="000000"/>
          <w:sz w:val="20"/>
          <w:szCs w:val="20"/>
        </w:rPr>
        <w:t xml:space="preserve"> </w:t>
      </w:r>
      <w:r w:rsidR="0005585D">
        <w:rPr>
          <w:rFonts w:asciiTheme="minorHAnsi" w:hAnsiTheme="minorHAnsi" w:cs="Courier New"/>
          <w:color w:val="000000"/>
          <w:sz w:val="20"/>
          <w:szCs w:val="20"/>
        </w:rPr>
        <w:t xml:space="preserve">            </w:t>
      </w:r>
    </w:p>
    <w:p w14:paraId="4F68ADF7" w14:textId="77777777" w:rsidR="007B2BF0" w:rsidRDefault="007B2BF0" w:rsidP="007B2BF0">
      <w:pPr>
        <w:ind w:left="720"/>
        <w:jc w:val="center"/>
        <w:rPr>
          <w:rFonts w:asciiTheme="minorHAnsi" w:hAnsiTheme="minorHAnsi"/>
          <w:sz w:val="22"/>
          <w:szCs w:val="22"/>
        </w:rPr>
      </w:pPr>
      <w:r>
        <w:rPr>
          <w:noProof/>
        </w:rPr>
        <w:drawing>
          <wp:inline distT="0" distB="0" distL="0" distR="0" wp14:anchorId="3A1934A4" wp14:editId="74054E6B">
            <wp:extent cx="2978150" cy="145609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05658" cy="1469546"/>
                    </a:xfrm>
                    <a:prstGeom prst="rect">
                      <a:avLst/>
                    </a:prstGeom>
                  </pic:spPr>
                </pic:pic>
              </a:graphicData>
            </a:graphic>
          </wp:inline>
        </w:drawing>
      </w:r>
    </w:p>
    <w:p w14:paraId="194DE785" w14:textId="77777777" w:rsidR="007B2BF0" w:rsidRDefault="007B2BF0" w:rsidP="00F63C5F">
      <w:pPr>
        <w:ind w:left="720"/>
        <w:rPr>
          <w:rFonts w:asciiTheme="minorHAnsi" w:hAnsiTheme="minorHAnsi"/>
          <w:sz w:val="22"/>
          <w:szCs w:val="22"/>
        </w:rPr>
      </w:pPr>
    </w:p>
    <w:p w14:paraId="70991A32" w14:textId="77777777" w:rsidR="007B2BF0" w:rsidRDefault="007B2BF0" w:rsidP="00F63C5F">
      <w:pPr>
        <w:ind w:left="720"/>
        <w:rPr>
          <w:rFonts w:asciiTheme="minorHAnsi" w:hAnsiTheme="minorHAnsi"/>
          <w:sz w:val="22"/>
          <w:szCs w:val="22"/>
        </w:rPr>
      </w:pPr>
    </w:p>
    <w:p w14:paraId="57FD84E2" w14:textId="19E7E717" w:rsidR="00F63C5F" w:rsidRDefault="00F63C5F" w:rsidP="00F63C5F">
      <w:pPr>
        <w:ind w:left="720"/>
        <w:rPr>
          <w:rFonts w:asciiTheme="minorHAnsi" w:hAnsiTheme="minorHAnsi"/>
          <w:sz w:val="22"/>
          <w:szCs w:val="22"/>
        </w:rPr>
      </w:pPr>
      <w:r w:rsidRPr="00F63C5F">
        <w:rPr>
          <w:rFonts w:asciiTheme="minorHAnsi" w:hAnsiTheme="minorHAnsi"/>
          <w:sz w:val="22"/>
          <w:szCs w:val="22"/>
        </w:rPr>
        <w:lastRenderedPageBreak/>
        <w:t xml:space="preserve">The disclosure rate continues to be a positive feature at BGU compared with other institutions.  The proportion of all disabled staff 9.5% (25) were evenly disclosed across 5 various disabilities.  </w:t>
      </w:r>
    </w:p>
    <w:p w14:paraId="409B01B2" w14:textId="002E903A" w:rsidR="00F63C5F" w:rsidRDefault="00F63C5F" w:rsidP="00F63C5F">
      <w:pPr>
        <w:ind w:left="720"/>
        <w:rPr>
          <w:rFonts w:asciiTheme="minorHAnsi" w:hAnsiTheme="minorHAnsi"/>
          <w:sz w:val="22"/>
          <w:szCs w:val="22"/>
        </w:rPr>
      </w:pPr>
    </w:p>
    <w:p w14:paraId="155FB8BF" w14:textId="77777777" w:rsidR="00F63C5F" w:rsidRPr="00333BE4" w:rsidRDefault="00F63C5F" w:rsidP="00F63C5F">
      <w:pPr>
        <w:ind w:left="720"/>
        <w:rPr>
          <w:rFonts w:asciiTheme="minorHAnsi" w:hAnsiTheme="minorHAnsi"/>
          <w:sz w:val="22"/>
          <w:szCs w:val="22"/>
        </w:rPr>
      </w:pPr>
    </w:p>
    <w:p w14:paraId="089CAD91" w14:textId="6EA1824E" w:rsidR="00B74603" w:rsidRDefault="00F63C5F" w:rsidP="00B74603">
      <w:pPr>
        <w:rPr>
          <w:rFonts w:asciiTheme="minorHAnsi" w:hAnsiTheme="minorHAnsi" w:cs="Courier New"/>
          <w:b/>
          <w:color w:val="000000"/>
          <w:sz w:val="20"/>
          <w:szCs w:val="20"/>
        </w:rPr>
      </w:pPr>
      <w:r w:rsidRPr="00F63C5F">
        <w:rPr>
          <w:rFonts w:asciiTheme="minorHAnsi" w:hAnsiTheme="minorHAnsi" w:cs="Courier New"/>
          <w:b/>
          <w:color w:val="000000"/>
          <w:sz w:val="20"/>
          <w:szCs w:val="20"/>
        </w:rPr>
        <w:t>Age</w:t>
      </w:r>
    </w:p>
    <w:p w14:paraId="4510E5F8" w14:textId="5AD0F651" w:rsidR="00F63C5F" w:rsidRDefault="00F63C5F" w:rsidP="00B74603">
      <w:pPr>
        <w:rPr>
          <w:rFonts w:asciiTheme="minorHAnsi" w:hAnsiTheme="minorHAnsi" w:cs="Courier New"/>
          <w:b/>
          <w:color w:val="000000"/>
          <w:sz w:val="20"/>
          <w:szCs w:val="20"/>
        </w:rPr>
      </w:pPr>
    </w:p>
    <w:p w14:paraId="718D4736" w14:textId="78A590AC" w:rsidR="00F63C5F" w:rsidRDefault="009D709A" w:rsidP="00F63C5F">
      <w:pPr>
        <w:rPr>
          <w:rFonts w:asciiTheme="minorHAnsi" w:hAnsiTheme="minorHAnsi"/>
          <w:b/>
          <w:sz w:val="22"/>
          <w:szCs w:val="22"/>
        </w:rPr>
      </w:pPr>
      <w:r>
        <w:rPr>
          <w:rFonts w:asciiTheme="minorHAnsi" w:hAnsiTheme="minorHAnsi"/>
          <w:b/>
          <w:sz w:val="22"/>
          <w:szCs w:val="22"/>
        </w:rPr>
        <w:t>Table 6</w:t>
      </w:r>
      <w:r w:rsidR="00F63C5F" w:rsidRPr="00333BE4">
        <w:rPr>
          <w:rFonts w:asciiTheme="minorHAnsi" w:hAnsiTheme="minorHAnsi"/>
          <w:b/>
          <w:sz w:val="22"/>
          <w:szCs w:val="22"/>
        </w:rPr>
        <w:t xml:space="preserve">: </w:t>
      </w:r>
      <w:r w:rsidR="00F63C5F">
        <w:rPr>
          <w:rFonts w:asciiTheme="minorHAnsi" w:hAnsiTheme="minorHAnsi"/>
          <w:b/>
          <w:sz w:val="22"/>
          <w:szCs w:val="22"/>
        </w:rPr>
        <w:t xml:space="preserve"> Age of BGU staff, 2010/11, </w:t>
      </w:r>
      <w:r w:rsidR="00F63C5F" w:rsidRPr="00333BE4">
        <w:rPr>
          <w:rFonts w:asciiTheme="minorHAnsi" w:hAnsiTheme="minorHAnsi"/>
          <w:b/>
          <w:sz w:val="22"/>
          <w:szCs w:val="22"/>
        </w:rPr>
        <w:t>2012/13, 2013/14 and 2014/15</w:t>
      </w:r>
    </w:p>
    <w:p w14:paraId="1D86581F" w14:textId="77777777" w:rsidR="00F63C5F" w:rsidRDefault="00F63C5F" w:rsidP="00B74603">
      <w:pPr>
        <w:rPr>
          <w:rFonts w:asciiTheme="minorHAnsi" w:hAnsiTheme="minorHAnsi" w:cs="Courier New"/>
          <w:b/>
          <w:color w:val="000000"/>
          <w:sz w:val="20"/>
          <w:szCs w:val="20"/>
        </w:rPr>
      </w:pPr>
    </w:p>
    <w:p w14:paraId="1AC0497E" w14:textId="2C8352E4" w:rsidR="00F63C5F" w:rsidRPr="00F63C5F" w:rsidRDefault="007B2BF0" w:rsidP="007B2BF0">
      <w:pPr>
        <w:jc w:val="center"/>
        <w:rPr>
          <w:rFonts w:asciiTheme="minorHAnsi" w:hAnsiTheme="minorHAnsi" w:cs="Courier New"/>
          <w:b/>
          <w:color w:val="000000"/>
          <w:sz w:val="20"/>
          <w:szCs w:val="20"/>
        </w:rPr>
      </w:pPr>
      <w:r>
        <w:rPr>
          <w:noProof/>
        </w:rPr>
        <w:drawing>
          <wp:inline distT="0" distB="0" distL="0" distR="0" wp14:anchorId="450FD09E" wp14:editId="2AD3CF0A">
            <wp:extent cx="5156200" cy="191135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56200" cy="1911350"/>
                    </a:xfrm>
                    <a:prstGeom prst="rect">
                      <a:avLst/>
                    </a:prstGeom>
                  </pic:spPr>
                </pic:pic>
              </a:graphicData>
            </a:graphic>
          </wp:inline>
        </w:drawing>
      </w:r>
    </w:p>
    <w:p w14:paraId="7D23CAE1" w14:textId="77777777" w:rsidR="00B74603" w:rsidRDefault="00B74603" w:rsidP="007724D3">
      <w:pPr>
        <w:rPr>
          <w:rFonts w:asciiTheme="minorHAnsi" w:hAnsiTheme="minorHAnsi" w:cs="Courier New"/>
          <w:color w:val="000000"/>
          <w:sz w:val="20"/>
          <w:szCs w:val="20"/>
        </w:rPr>
      </w:pPr>
    </w:p>
    <w:p w14:paraId="0A2D01BB" w14:textId="35148610" w:rsidR="00B74603" w:rsidRDefault="007B2BF0" w:rsidP="007724D3">
      <w:pPr>
        <w:rPr>
          <w:rFonts w:asciiTheme="minorHAnsi" w:hAnsiTheme="minorHAnsi" w:cs="Courier New"/>
          <w:color w:val="000000"/>
          <w:sz w:val="20"/>
          <w:szCs w:val="20"/>
        </w:rPr>
      </w:pPr>
      <w:r>
        <w:rPr>
          <w:rFonts w:asciiTheme="minorHAnsi" w:hAnsiTheme="minorHAnsi" w:cs="Courier New"/>
          <w:color w:val="000000"/>
          <w:sz w:val="20"/>
          <w:szCs w:val="20"/>
        </w:rPr>
        <w:t xml:space="preserve">42.8% of </w:t>
      </w:r>
      <w:r w:rsidR="007724D3">
        <w:rPr>
          <w:rFonts w:asciiTheme="minorHAnsi" w:hAnsiTheme="minorHAnsi" w:cs="Courier New"/>
          <w:color w:val="000000"/>
          <w:sz w:val="20"/>
          <w:szCs w:val="20"/>
        </w:rPr>
        <w:t>BGU staff are aged between 50-65</w:t>
      </w:r>
      <w:r w:rsidR="00CE0C58">
        <w:rPr>
          <w:rFonts w:asciiTheme="minorHAnsi" w:hAnsiTheme="minorHAnsi" w:cs="Courier New"/>
          <w:color w:val="000000"/>
          <w:sz w:val="20"/>
          <w:szCs w:val="20"/>
        </w:rPr>
        <w:t xml:space="preserve"> years.  This is higher than</w:t>
      </w:r>
      <w:r>
        <w:rPr>
          <w:rFonts w:asciiTheme="minorHAnsi" w:hAnsiTheme="minorHAnsi" w:cs="Courier New"/>
          <w:color w:val="000000"/>
          <w:sz w:val="20"/>
          <w:szCs w:val="20"/>
        </w:rPr>
        <w:t xml:space="preserve"> the Cathedral Group HEI sector average where 36.18% of staff are aged between 50-</w:t>
      </w:r>
      <w:r w:rsidR="007724D3">
        <w:rPr>
          <w:rFonts w:asciiTheme="minorHAnsi" w:hAnsiTheme="minorHAnsi" w:cs="Courier New"/>
          <w:color w:val="000000"/>
          <w:sz w:val="20"/>
          <w:szCs w:val="20"/>
        </w:rPr>
        <w:t>65 years.</w:t>
      </w:r>
    </w:p>
    <w:p w14:paraId="24BE1BBC" w14:textId="77777777" w:rsidR="00B74603" w:rsidRDefault="00B74603" w:rsidP="00B74603">
      <w:pPr>
        <w:rPr>
          <w:rFonts w:asciiTheme="minorHAnsi" w:hAnsiTheme="minorHAnsi" w:cs="Courier New"/>
          <w:color w:val="000000"/>
          <w:sz w:val="20"/>
          <w:szCs w:val="20"/>
        </w:rPr>
      </w:pPr>
    </w:p>
    <w:p w14:paraId="4CDF9645" w14:textId="77777777" w:rsidR="00B74603" w:rsidRDefault="00B74603" w:rsidP="00B74603">
      <w:pPr>
        <w:rPr>
          <w:rFonts w:asciiTheme="minorHAnsi" w:hAnsiTheme="minorHAnsi" w:cs="Courier New"/>
          <w:color w:val="000000"/>
          <w:sz w:val="20"/>
          <w:szCs w:val="20"/>
        </w:rPr>
      </w:pPr>
    </w:p>
    <w:p w14:paraId="686C25A8" w14:textId="1F2BD6C2" w:rsidR="007B2BF0" w:rsidRPr="00F63C5F" w:rsidRDefault="00956621" w:rsidP="007B2BF0">
      <w:pPr>
        <w:rPr>
          <w:rFonts w:asciiTheme="minorHAnsi" w:hAnsiTheme="minorHAnsi"/>
          <w:b/>
          <w:sz w:val="22"/>
          <w:szCs w:val="22"/>
        </w:rPr>
      </w:pPr>
      <w:r>
        <w:rPr>
          <w:rFonts w:asciiTheme="minorHAnsi" w:hAnsiTheme="minorHAnsi"/>
          <w:b/>
          <w:sz w:val="22"/>
          <w:szCs w:val="22"/>
        </w:rPr>
        <w:t>Figure 3</w:t>
      </w:r>
      <w:r w:rsidR="007B2BF0" w:rsidRPr="00F63C5F">
        <w:rPr>
          <w:rFonts w:asciiTheme="minorHAnsi" w:hAnsiTheme="minorHAnsi"/>
          <w:b/>
          <w:sz w:val="22"/>
          <w:szCs w:val="22"/>
        </w:rPr>
        <w:t xml:space="preserve">: </w:t>
      </w:r>
      <w:r w:rsidR="007724D3">
        <w:rPr>
          <w:rFonts w:asciiTheme="minorHAnsi" w:hAnsiTheme="minorHAnsi"/>
          <w:b/>
          <w:sz w:val="22"/>
          <w:szCs w:val="22"/>
        </w:rPr>
        <w:t xml:space="preserve">Age </w:t>
      </w:r>
      <w:r w:rsidR="007B2BF0" w:rsidRPr="00F63C5F">
        <w:rPr>
          <w:rFonts w:asciiTheme="minorHAnsi" w:hAnsiTheme="minorHAnsi"/>
          <w:b/>
          <w:sz w:val="22"/>
          <w:szCs w:val="22"/>
        </w:rPr>
        <w:t>Comparison with Cathedral University Group</w:t>
      </w:r>
    </w:p>
    <w:p w14:paraId="4083AE4A" w14:textId="29C18F5C" w:rsidR="00B74603" w:rsidRDefault="00B74603" w:rsidP="007724D3">
      <w:pPr>
        <w:rPr>
          <w:rFonts w:asciiTheme="minorHAnsi" w:hAnsiTheme="minorHAnsi" w:cs="Courier New"/>
          <w:color w:val="000000"/>
          <w:sz w:val="20"/>
          <w:szCs w:val="20"/>
        </w:rPr>
      </w:pPr>
    </w:p>
    <w:p w14:paraId="1FCFA176" w14:textId="77777777" w:rsidR="00B74603" w:rsidRDefault="00B74603" w:rsidP="00B74603">
      <w:pPr>
        <w:rPr>
          <w:rFonts w:asciiTheme="minorHAnsi" w:hAnsiTheme="minorHAnsi" w:cs="Courier New"/>
          <w:color w:val="000000"/>
          <w:sz w:val="20"/>
          <w:szCs w:val="20"/>
        </w:rPr>
      </w:pPr>
    </w:p>
    <w:p w14:paraId="2F611EE6" w14:textId="77777777" w:rsidR="00B74603" w:rsidRDefault="00B74603" w:rsidP="00B74603">
      <w:pPr>
        <w:rPr>
          <w:rFonts w:asciiTheme="minorHAnsi" w:hAnsiTheme="minorHAnsi" w:cs="Courier New"/>
          <w:color w:val="000000"/>
          <w:sz w:val="20"/>
          <w:szCs w:val="20"/>
        </w:rPr>
      </w:pPr>
    </w:p>
    <w:p w14:paraId="4B554075" w14:textId="3189948E" w:rsidR="00B74603" w:rsidRDefault="00B74603" w:rsidP="00B74603">
      <w:pPr>
        <w:rPr>
          <w:rFonts w:asciiTheme="minorHAnsi" w:hAnsiTheme="minorHAnsi" w:cs="Courier New"/>
          <w:color w:val="000000"/>
          <w:sz w:val="20"/>
          <w:szCs w:val="20"/>
        </w:rPr>
      </w:pPr>
      <w:r>
        <w:rPr>
          <w:noProof/>
        </w:rPr>
        <w:drawing>
          <wp:inline distT="0" distB="0" distL="0" distR="0" wp14:anchorId="0614DB2A" wp14:editId="7177634F">
            <wp:extent cx="6412986" cy="4038600"/>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13733" cy="4039070"/>
                    </a:xfrm>
                    <a:prstGeom prst="rect">
                      <a:avLst/>
                    </a:prstGeom>
                  </pic:spPr>
                </pic:pic>
              </a:graphicData>
            </a:graphic>
          </wp:inline>
        </w:drawing>
      </w:r>
    </w:p>
    <w:p w14:paraId="2F523AD3" w14:textId="77777777" w:rsidR="00B74603" w:rsidRDefault="00B74603" w:rsidP="00B74603">
      <w:pPr>
        <w:rPr>
          <w:rFonts w:asciiTheme="minorHAnsi" w:hAnsiTheme="minorHAnsi" w:cs="Courier New"/>
          <w:color w:val="000000"/>
          <w:sz w:val="20"/>
          <w:szCs w:val="20"/>
        </w:rPr>
      </w:pPr>
    </w:p>
    <w:p w14:paraId="68A2CD48" w14:textId="5C3F6A4E" w:rsidR="00B74603" w:rsidRDefault="0005585D" w:rsidP="009E6A66">
      <w:pPr>
        <w:rPr>
          <w:rFonts w:asciiTheme="minorHAnsi" w:hAnsiTheme="minorHAnsi" w:cs="Courier New"/>
          <w:color w:val="000000"/>
          <w:sz w:val="20"/>
          <w:szCs w:val="20"/>
        </w:rPr>
      </w:pPr>
      <w:r w:rsidRPr="0005585D">
        <w:rPr>
          <w:rFonts w:asciiTheme="minorHAnsi" w:hAnsiTheme="minorHAnsi" w:cs="Courier New"/>
          <w:color w:val="000000"/>
          <w:sz w:val="20"/>
          <w:szCs w:val="20"/>
        </w:rPr>
        <w:t>Source: HESA staff record 2010-11 to 201</w:t>
      </w:r>
      <w:r w:rsidR="00B74603">
        <w:rPr>
          <w:rFonts w:asciiTheme="minorHAnsi" w:hAnsiTheme="minorHAnsi" w:cs="Courier New"/>
          <w:color w:val="000000"/>
          <w:sz w:val="20"/>
          <w:szCs w:val="20"/>
        </w:rPr>
        <w:t>4</w:t>
      </w:r>
      <w:r w:rsidRPr="0005585D">
        <w:rPr>
          <w:rFonts w:asciiTheme="minorHAnsi" w:hAnsiTheme="minorHAnsi" w:cs="Courier New"/>
          <w:color w:val="000000"/>
          <w:sz w:val="20"/>
          <w:szCs w:val="20"/>
        </w:rPr>
        <w:t>-1</w:t>
      </w:r>
    </w:p>
    <w:p w14:paraId="07DE16AB" w14:textId="77777777" w:rsidR="009D709A" w:rsidRPr="009D709A" w:rsidRDefault="009D709A" w:rsidP="009E6A66">
      <w:pPr>
        <w:rPr>
          <w:rFonts w:asciiTheme="minorHAnsi" w:hAnsiTheme="minorHAnsi"/>
          <w:sz w:val="20"/>
          <w:szCs w:val="20"/>
        </w:rPr>
      </w:pPr>
    </w:p>
    <w:p w14:paraId="487C8FF0" w14:textId="644CD221" w:rsidR="009E6A66" w:rsidRPr="00333BE4" w:rsidRDefault="009E6A66" w:rsidP="009E6A66">
      <w:pPr>
        <w:rPr>
          <w:rFonts w:asciiTheme="minorHAnsi" w:hAnsiTheme="minorHAnsi"/>
          <w:b/>
          <w:sz w:val="22"/>
          <w:szCs w:val="22"/>
        </w:rPr>
      </w:pPr>
      <w:r w:rsidRPr="00333BE4">
        <w:rPr>
          <w:rFonts w:asciiTheme="minorHAnsi" w:hAnsiTheme="minorHAnsi"/>
          <w:b/>
          <w:sz w:val="22"/>
          <w:szCs w:val="22"/>
        </w:rPr>
        <w:t>3. STUDENT DATA</w:t>
      </w:r>
    </w:p>
    <w:p w14:paraId="4D4F9EBF" w14:textId="77777777" w:rsidR="00F4543F" w:rsidRPr="00333BE4" w:rsidRDefault="00F4543F" w:rsidP="009E6A66">
      <w:pPr>
        <w:rPr>
          <w:rFonts w:asciiTheme="minorHAnsi" w:hAnsiTheme="minorHAnsi"/>
          <w:b/>
          <w:sz w:val="22"/>
          <w:szCs w:val="22"/>
        </w:rPr>
      </w:pPr>
    </w:p>
    <w:p w14:paraId="0289EE24" w14:textId="04E4F3A9" w:rsidR="00F4543F" w:rsidRPr="009624DB" w:rsidRDefault="00F4543F" w:rsidP="009E6A66">
      <w:pPr>
        <w:rPr>
          <w:rFonts w:asciiTheme="minorHAnsi" w:hAnsiTheme="minorHAnsi"/>
          <w:b/>
          <w:sz w:val="22"/>
          <w:szCs w:val="22"/>
        </w:rPr>
      </w:pPr>
      <w:r w:rsidRPr="009624DB">
        <w:rPr>
          <w:rFonts w:asciiTheme="minorHAnsi" w:hAnsiTheme="minorHAnsi"/>
          <w:b/>
          <w:sz w:val="22"/>
          <w:szCs w:val="22"/>
        </w:rPr>
        <w:t>Student applications</w:t>
      </w:r>
    </w:p>
    <w:p w14:paraId="5F0630AD" w14:textId="77777777" w:rsidR="00B84C34" w:rsidRPr="00B84C34" w:rsidRDefault="00B84C34" w:rsidP="009E6A66">
      <w:pPr>
        <w:rPr>
          <w:rFonts w:asciiTheme="minorHAnsi" w:hAnsiTheme="minorHAnsi"/>
          <w:b/>
          <w:sz w:val="22"/>
          <w:szCs w:val="22"/>
          <w:u w:val="single"/>
        </w:rPr>
      </w:pPr>
    </w:p>
    <w:p w14:paraId="082B186B" w14:textId="77777777" w:rsidR="00E94B70" w:rsidRPr="00333BE4" w:rsidRDefault="00E94B70" w:rsidP="009624DB">
      <w:pPr>
        <w:spacing w:line="276" w:lineRule="auto"/>
        <w:ind w:left="720"/>
        <w:rPr>
          <w:rFonts w:asciiTheme="minorHAnsi" w:hAnsiTheme="minorHAnsi"/>
          <w:sz w:val="22"/>
          <w:szCs w:val="22"/>
        </w:rPr>
      </w:pPr>
      <w:r w:rsidRPr="00333BE4">
        <w:rPr>
          <w:rFonts w:asciiTheme="minorHAnsi" w:hAnsiTheme="minorHAnsi"/>
          <w:sz w:val="22"/>
          <w:szCs w:val="22"/>
        </w:rPr>
        <w:t xml:space="preserve">The conversion of applications to enrolments remains positive for each of the protected characteristic groups, each having a higher rate of applications to enrolments in 2014/15 compared with the total for all undergraduates. The conversion rate for disabled applicants is almost 20 percentage points higher than for all undergraduate applicants and 6 percentage points higher than last year.  </w:t>
      </w:r>
    </w:p>
    <w:p w14:paraId="5B08EB9D" w14:textId="77777777" w:rsidR="00E94B70" w:rsidRPr="00333BE4" w:rsidRDefault="00E94B70" w:rsidP="00E94B70">
      <w:pPr>
        <w:spacing w:line="276" w:lineRule="auto"/>
        <w:rPr>
          <w:rFonts w:asciiTheme="minorHAnsi" w:hAnsiTheme="minorHAnsi"/>
          <w:sz w:val="22"/>
          <w:szCs w:val="22"/>
        </w:rPr>
      </w:pPr>
    </w:p>
    <w:p w14:paraId="0FC4B9E2" w14:textId="3A4AF297" w:rsidR="00E94B70" w:rsidRPr="00333BE4" w:rsidRDefault="00E94B70" w:rsidP="009624DB">
      <w:pPr>
        <w:spacing w:line="276" w:lineRule="auto"/>
        <w:ind w:left="720"/>
        <w:rPr>
          <w:rFonts w:asciiTheme="minorHAnsi" w:hAnsiTheme="minorHAnsi"/>
          <w:sz w:val="22"/>
          <w:szCs w:val="22"/>
        </w:rPr>
      </w:pPr>
      <w:r w:rsidRPr="00333BE4">
        <w:rPr>
          <w:rFonts w:asciiTheme="minorHAnsi" w:hAnsiTheme="minorHAnsi"/>
          <w:sz w:val="22"/>
          <w:szCs w:val="22"/>
        </w:rPr>
        <w:t xml:space="preserve">Ethnicity data was missing for almost half of the applications so has not been included in the analysis. (Table </w:t>
      </w:r>
      <w:r w:rsidR="00C4229E">
        <w:rPr>
          <w:rFonts w:asciiTheme="minorHAnsi" w:hAnsiTheme="minorHAnsi"/>
          <w:sz w:val="22"/>
          <w:szCs w:val="22"/>
        </w:rPr>
        <w:t>3</w:t>
      </w:r>
      <w:r w:rsidRPr="00333BE4">
        <w:rPr>
          <w:rFonts w:asciiTheme="minorHAnsi" w:hAnsiTheme="minorHAnsi"/>
          <w:sz w:val="22"/>
          <w:szCs w:val="22"/>
        </w:rPr>
        <w:t>).</w:t>
      </w:r>
    </w:p>
    <w:p w14:paraId="4F0862D7" w14:textId="77777777" w:rsidR="00E94B70" w:rsidRPr="00333BE4" w:rsidRDefault="00E94B70" w:rsidP="009E6A66">
      <w:pPr>
        <w:rPr>
          <w:rFonts w:asciiTheme="minorHAnsi" w:hAnsiTheme="minorHAnsi"/>
          <w:b/>
          <w:sz w:val="22"/>
          <w:szCs w:val="22"/>
        </w:rPr>
      </w:pPr>
    </w:p>
    <w:tbl>
      <w:tblPr>
        <w:tblpPr w:leftFromText="180" w:rightFromText="180" w:vertAnchor="text" w:horzAnchor="margin" w:tblpXSpec="center" w:tblpY="-36"/>
        <w:tblW w:w="0" w:type="auto"/>
        <w:tblLook w:val="04A0" w:firstRow="1" w:lastRow="0" w:firstColumn="1" w:lastColumn="0" w:noHBand="0" w:noVBand="1"/>
      </w:tblPr>
      <w:tblGrid>
        <w:gridCol w:w="2032"/>
        <w:gridCol w:w="923"/>
        <w:gridCol w:w="975"/>
        <w:gridCol w:w="1189"/>
        <w:gridCol w:w="1778"/>
      </w:tblGrid>
      <w:tr w:rsidR="009624DB" w:rsidRPr="00333BE4" w14:paraId="5F3EB64A" w14:textId="77777777" w:rsidTr="009624DB">
        <w:trPr>
          <w:trHeight w:val="869"/>
        </w:trPr>
        <w:tc>
          <w:tcPr>
            <w:tcW w:w="0" w:type="auto"/>
            <w:tcBorders>
              <w:top w:val="single" w:sz="4" w:space="0" w:color="auto"/>
              <w:bottom w:val="single" w:sz="4" w:space="0" w:color="auto"/>
            </w:tcBorders>
            <w:shd w:val="clear" w:color="auto" w:fill="auto"/>
            <w:vAlign w:val="center"/>
            <w:hideMark/>
          </w:tcPr>
          <w:p w14:paraId="67200988" w14:textId="77777777" w:rsidR="009624DB" w:rsidRPr="00333BE4" w:rsidRDefault="009624DB" w:rsidP="009624DB">
            <w:pPr>
              <w:rPr>
                <w:rFonts w:asciiTheme="minorHAnsi" w:hAnsiTheme="minorHAnsi" w:cs="Calibri"/>
                <w:color w:val="000000"/>
                <w:sz w:val="22"/>
                <w:szCs w:val="22"/>
              </w:rPr>
            </w:pPr>
          </w:p>
        </w:tc>
        <w:tc>
          <w:tcPr>
            <w:tcW w:w="0" w:type="auto"/>
            <w:tcBorders>
              <w:top w:val="single" w:sz="4" w:space="0" w:color="auto"/>
              <w:bottom w:val="single" w:sz="4" w:space="0" w:color="auto"/>
            </w:tcBorders>
            <w:vAlign w:val="center"/>
          </w:tcPr>
          <w:p w14:paraId="531A94A0" w14:textId="77777777" w:rsidR="009624DB" w:rsidRPr="00333BE4" w:rsidRDefault="009624DB" w:rsidP="009624DB">
            <w:pPr>
              <w:jc w:val="right"/>
              <w:rPr>
                <w:rFonts w:asciiTheme="minorHAnsi" w:hAnsiTheme="minorHAnsi" w:cs="Calibri"/>
                <w:b/>
                <w:color w:val="000000"/>
                <w:sz w:val="22"/>
                <w:szCs w:val="22"/>
              </w:rPr>
            </w:pPr>
            <w:r w:rsidRPr="00333BE4">
              <w:rPr>
                <w:rFonts w:asciiTheme="minorHAnsi" w:hAnsiTheme="minorHAnsi" w:cs="Calibri"/>
                <w:b/>
                <w:color w:val="000000"/>
                <w:sz w:val="22"/>
                <w:szCs w:val="22"/>
              </w:rPr>
              <w:t>Applied</w:t>
            </w:r>
          </w:p>
        </w:tc>
        <w:tc>
          <w:tcPr>
            <w:tcW w:w="0" w:type="auto"/>
            <w:tcBorders>
              <w:top w:val="single" w:sz="4" w:space="0" w:color="auto"/>
              <w:bottom w:val="single" w:sz="4" w:space="0" w:color="auto"/>
            </w:tcBorders>
            <w:vAlign w:val="center"/>
          </w:tcPr>
          <w:p w14:paraId="3DC4AAD9" w14:textId="77777777" w:rsidR="009624DB" w:rsidRPr="00333BE4" w:rsidRDefault="009624DB" w:rsidP="009624DB">
            <w:pPr>
              <w:jc w:val="right"/>
              <w:rPr>
                <w:rFonts w:asciiTheme="minorHAnsi" w:hAnsiTheme="minorHAnsi" w:cs="Calibri"/>
                <w:b/>
                <w:color w:val="000000"/>
                <w:sz w:val="22"/>
                <w:szCs w:val="22"/>
              </w:rPr>
            </w:pPr>
            <w:r w:rsidRPr="00333BE4">
              <w:rPr>
                <w:rFonts w:asciiTheme="minorHAnsi" w:hAnsiTheme="minorHAnsi" w:cs="Calibri"/>
                <w:b/>
                <w:color w:val="000000"/>
                <w:sz w:val="22"/>
                <w:szCs w:val="22"/>
              </w:rPr>
              <w:t>Enrolled</w:t>
            </w:r>
          </w:p>
        </w:tc>
        <w:tc>
          <w:tcPr>
            <w:tcW w:w="0" w:type="auto"/>
            <w:tcBorders>
              <w:top w:val="single" w:sz="4" w:space="0" w:color="auto"/>
              <w:bottom w:val="single" w:sz="4" w:space="0" w:color="auto"/>
            </w:tcBorders>
            <w:vAlign w:val="center"/>
          </w:tcPr>
          <w:p w14:paraId="3CDB0FD0" w14:textId="77777777" w:rsidR="009624DB" w:rsidRPr="00333BE4" w:rsidRDefault="009624DB" w:rsidP="009624DB">
            <w:pPr>
              <w:jc w:val="right"/>
              <w:rPr>
                <w:rFonts w:asciiTheme="minorHAnsi" w:hAnsiTheme="minorHAnsi" w:cs="Calibri"/>
                <w:b/>
                <w:color w:val="000000"/>
                <w:sz w:val="22"/>
                <w:szCs w:val="22"/>
              </w:rPr>
            </w:pPr>
            <w:r w:rsidRPr="00333BE4">
              <w:rPr>
                <w:rFonts w:asciiTheme="minorHAnsi" w:hAnsiTheme="minorHAnsi" w:cs="Calibri"/>
                <w:b/>
                <w:color w:val="000000"/>
                <w:sz w:val="22"/>
                <w:szCs w:val="22"/>
              </w:rPr>
              <w:t xml:space="preserve">% enrolled </w:t>
            </w:r>
          </w:p>
          <w:p w14:paraId="3AFA7541" w14:textId="77777777" w:rsidR="009624DB" w:rsidRPr="00333BE4" w:rsidRDefault="009624DB" w:rsidP="009624DB">
            <w:pPr>
              <w:jc w:val="right"/>
              <w:rPr>
                <w:rFonts w:asciiTheme="minorHAnsi" w:hAnsiTheme="minorHAnsi" w:cs="Calibri"/>
                <w:b/>
                <w:color w:val="000000"/>
                <w:sz w:val="22"/>
                <w:szCs w:val="22"/>
              </w:rPr>
            </w:pPr>
            <w:r w:rsidRPr="00333BE4">
              <w:rPr>
                <w:rFonts w:asciiTheme="minorHAnsi" w:hAnsiTheme="minorHAnsi" w:cs="Calibri"/>
                <w:b/>
                <w:color w:val="000000"/>
                <w:sz w:val="22"/>
                <w:szCs w:val="22"/>
              </w:rPr>
              <w:t>of applied</w:t>
            </w:r>
          </w:p>
        </w:tc>
        <w:tc>
          <w:tcPr>
            <w:tcW w:w="0" w:type="auto"/>
            <w:tcBorders>
              <w:top w:val="single" w:sz="4" w:space="0" w:color="auto"/>
              <w:bottom w:val="single" w:sz="4" w:space="0" w:color="auto"/>
            </w:tcBorders>
            <w:vAlign w:val="center"/>
          </w:tcPr>
          <w:p w14:paraId="35711E86" w14:textId="77777777" w:rsidR="009624DB" w:rsidRPr="00333BE4" w:rsidRDefault="009624DB" w:rsidP="009624DB">
            <w:pPr>
              <w:jc w:val="right"/>
              <w:rPr>
                <w:rFonts w:asciiTheme="minorHAnsi" w:hAnsiTheme="minorHAnsi" w:cs="Calibri"/>
                <w:b/>
                <w:color w:val="000000"/>
                <w:sz w:val="22"/>
                <w:szCs w:val="22"/>
              </w:rPr>
            </w:pPr>
            <w:r w:rsidRPr="00333BE4">
              <w:rPr>
                <w:rFonts w:asciiTheme="minorHAnsi" w:hAnsiTheme="minorHAnsi" w:cs="Calibri"/>
                <w:b/>
                <w:color w:val="000000"/>
                <w:sz w:val="22"/>
                <w:szCs w:val="22"/>
              </w:rPr>
              <w:t xml:space="preserve">Percentage point </w:t>
            </w:r>
          </w:p>
          <w:p w14:paraId="4FACC156" w14:textId="77777777" w:rsidR="009624DB" w:rsidRPr="00333BE4" w:rsidRDefault="009624DB" w:rsidP="009624DB">
            <w:pPr>
              <w:jc w:val="right"/>
              <w:rPr>
                <w:rFonts w:asciiTheme="minorHAnsi" w:hAnsiTheme="minorHAnsi" w:cs="Calibri"/>
                <w:b/>
                <w:color w:val="000000"/>
                <w:sz w:val="22"/>
                <w:szCs w:val="22"/>
              </w:rPr>
            </w:pPr>
            <w:r w:rsidRPr="00333BE4">
              <w:rPr>
                <w:rFonts w:asciiTheme="minorHAnsi" w:hAnsiTheme="minorHAnsi" w:cs="Calibri"/>
                <w:b/>
                <w:color w:val="000000"/>
                <w:sz w:val="22"/>
                <w:szCs w:val="22"/>
              </w:rPr>
              <w:t>difference to</w:t>
            </w:r>
          </w:p>
          <w:p w14:paraId="3181E519" w14:textId="77777777" w:rsidR="009624DB" w:rsidRPr="00333BE4" w:rsidRDefault="009624DB" w:rsidP="009624DB">
            <w:pPr>
              <w:jc w:val="right"/>
              <w:rPr>
                <w:rFonts w:asciiTheme="minorHAnsi" w:hAnsiTheme="minorHAnsi" w:cs="Calibri"/>
                <w:b/>
                <w:color w:val="000000"/>
                <w:sz w:val="22"/>
                <w:szCs w:val="22"/>
              </w:rPr>
            </w:pPr>
            <w:r w:rsidRPr="00333BE4">
              <w:rPr>
                <w:rFonts w:asciiTheme="minorHAnsi" w:hAnsiTheme="minorHAnsi" w:cs="Calibri"/>
                <w:b/>
                <w:color w:val="000000"/>
                <w:sz w:val="22"/>
                <w:szCs w:val="22"/>
              </w:rPr>
              <w:t xml:space="preserve"> 2013-14</w:t>
            </w:r>
          </w:p>
        </w:tc>
      </w:tr>
      <w:tr w:rsidR="009624DB" w:rsidRPr="00333BE4" w14:paraId="7D63D7D2" w14:textId="77777777" w:rsidTr="009624DB">
        <w:trPr>
          <w:trHeight w:val="290"/>
        </w:trPr>
        <w:tc>
          <w:tcPr>
            <w:tcW w:w="0" w:type="auto"/>
            <w:tcBorders>
              <w:top w:val="single" w:sz="4" w:space="0" w:color="auto"/>
              <w:bottom w:val="dotted" w:sz="4" w:space="0" w:color="auto"/>
            </w:tcBorders>
            <w:shd w:val="clear" w:color="auto" w:fill="auto"/>
            <w:vAlign w:val="bottom"/>
            <w:hideMark/>
          </w:tcPr>
          <w:p w14:paraId="03E4164B" w14:textId="77777777" w:rsidR="009624DB" w:rsidRPr="00333BE4" w:rsidRDefault="009624DB" w:rsidP="009624DB">
            <w:pPr>
              <w:rPr>
                <w:rFonts w:asciiTheme="minorHAnsi" w:hAnsiTheme="minorHAnsi" w:cs="Calibri"/>
                <w:b/>
                <w:color w:val="000000"/>
                <w:sz w:val="22"/>
                <w:szCs w:val="22"/>
              </w:rPr>
            </w:pPr>
            <w:r w:rsidRPr="00333BE4">
              <w:rPr>
                <w:rFonts w:asciiTheme="minorHAnsi" w:hAnsiTheme="minorHAnsi" w:cs="Calibri"/>
                <w:b/>
                <w:color w:val="000000"/>
                <w:sz w:val="22"/>
                <w:szCs w:val="22"/>
              </w:rPr>
              <w:t xml:space="preserve">BME </w:t>
            </w:r>
          </w:p>
        </w:tc>
        <w:tc>
          <w:tcPr>
            <w:tcW w:w="0" w:type="auto"/>
            <w:tcBorders>
              <w:top w:val="single" w:sz="4" w:space="0" w:color="auto"/>
              <w:bottom w:val="dotted" w:sz="4" w:space="0" w:color="auto"/>
            </w:tcBorders>
            <w:shd w:val="clear" w:color="auto" w:fill="auto"/>
            <w:vAlign w:val="bottom"/>
          </w:tcPr>
          <w:p w14:paraId="6037F3D1" w14:textId="77777777" w:rsidR="009624DB" w:rsidRPr="00333BE4" w:rsidRDefault="009624DB" w:rsidP="009624DB">
            <w:pPr>
              <w:jc w:val="right"/>
              <w:rPr>
                <w:rFonts w:asciiTheme="minorHAnsi" w:hAnsiTheme="minorHAnsi" w:cs="Calibri"/>
                <w:color w:val="000000"/>
                <w:sz w:val="22"/>
                <w:szCs w:val="22"/>
              </w:rPr>
            </w:pPr>
            <w:r w:rsidRPr="00333BE4">
              <w:rPr>
                <w:rFonts w:asciiTheme="minorHAnsi" w:hAnsiTheme="minorHAnsi" w:cs="Calibri"/>
                <w:color w:val="000000"/>
                <w:sz w:val="22"/>
                <w:szCs w:val="22"/>
              </w:rPr>
              <w:t>NA</w:t>
            </w:r>
          </w:p>
        </w:tc>
        <w:tc>
          <w:tcPr>
            <w:tcW w:w="0" w:type="auto"/>
            <w:tcBorders>
              <w:top w:val="single" w:sz="4" w:space="0" w:color="auto"/>
              <w:bottom w:val="dotted" w:sz="4" w:space="0" w:color="auto"/>
            </w:tcBorders>
            <w:shd w:val="clear" w:color="auto" w:fill="auto"/>
            <w:vAlign w:val="bottom"/>
          </w:tcPr>
          <w:p w14:paraId="5D917815" w14:textId="77777777" w:rsidR="009624DB" w:rsidRPr="00333BE4" w:rsidRDefault="009624DB" w:rsidP="009624DB">
            <w:pPr>
              <w:jc w:val="right"/>
              <w:rPr>
                <w:rFonts w:asciiTheme="minorHAnsi" w:hAnsiTheme="minorHAnsi" w:cs="Calibri"/>
                <w:sz w:val="22"/>
                <w:szCs w:val="22"/>
              </w:rPr>
            </w:pPr>
            <w:r w:rsidRPr="00333BE4">
              <w:rPr>
                <w:rFonts w:asciiTheme="minorHAnsi" w:hAnsiTheme="minorHAnsi" w:cs="Calibri"/>
                <w:sz w:val="22"/>
                <w:szCs w:val="22"/>
              </w:rPr>
              <w:t>22</w:t>
            </w:r>
          </w:p>
        </w:tc>
        <w:tc>
          <w:tcPr>
            <w:tcW w:w="0" w:type="auto"/>
            <w:tcBorders>
              <w:top w:val="single" w:sz="4" w:space="0" w:color="auto"/>
              <w:bottom w:val="dotted" w:sz="4" w:space="0" w:color="auto"/>
            </w:tcBorders>
            <w:shd w:val="clear" w:color="auto" w:fill="auto"/>
            <w:vAlign w:val="bottom"/>
          </w:tcPr>
          <w:p w14:paraId="30B8B1B2" w14:textId="77777777" w:rsidR="009624DB" w:rsidRPr="00333BE4" w:rsidRDefault="009624DB" w:rsidP="009624DB">
            <w:pPr>
              <w:jc w:val="right"/>
              <w:rPr>
                <w:rFonts w:asciiTheme="minorHAnsi" w:hAnsiTheme="minorHAnsi" w:cs="Calibri"/>
                <w:i/>
                <w:color w:val="000000"/>
                <w:sz w:val="22"/>
                <w:szCs w:val="22"/>
              </w:rPr>
            </w:pPr>
            <w:r w:rsidRPr="00333BE4">
              <w:rPr>
                <w:rFonts w:asciiTheme="minorHAnsi" w:hAnsiTheme="minorHAnsi" w:cs="Calibri"/>
                <w:i/>
                <w:color w:val="000000"/>
                <w:sz w:val="22"/>
                <w:szCs w:val="22"/>
              </w:rPr>
              <w:t>NA</w:t>
            </w:r>
          </w:p>
        </w:tc>
        <w:tc>
          <w:tcPr>
            <w:tcW w:w="0" w:type="auto"/>
            <w:tcBorders>
              <w:top w:val="single" w:sz="4" w:space="0" w:color="auto"/>
              <w:bottom w:val="dotted" w:sz="4" w:space="0" w:color="auto"/>
            </w:tcBorders>
            <w:shd w:val="clear" w:color="auto" w:fill="auto"/>
            <w:vAlign w:val="bottom"/>
          </w:tcPr>
          <w:p w14:paraId="3885BB01" w14:textId="77777777" w:rsidR="009624DB" w:rsidRPr="00333BE4" w:rsidDel="00FA26C7" w:rsidRDefault="009624DB" w:rsidP="009624DB">
            <w:pPr>
              <w:jc w:val="right"/>
              <w:rPr>
                <w:rFonts w:asciiTheme="minorHAnsi" w:hAnsiTheme="minorHAnsi" w:cs="Calibri"/>
                <w:sz w:val="22"/>
                <w:szCs w:val="22"/>
              </w:rPr>
            </w:pPr>
            <w:r w:rsidRPr="00333BE4">
              <w:rPr>
                <w:rFonts w:asciiTheme="minorHAnsi" w:hAnsiTheme="minorHAnsi" w:cs="Calibri"/>
                <w:sz w:val="22"/>
                <w:szCs w:val="22"/>
              </w:rPr>
              <w:t>NA</w:t>
            </w:r>
          </w:p>
        </w:tc>
      </w:tr>
      <w:tr w:rsidR="009624DB" w:rsidRPr="00333BE4" w14:paraId="623D32D0" w14:textId="77777777" w:rsidTr="009624DB">
        <w:trPr>
          <w:trHeight w:val="290"/>
        </w:trPr>
        <w:tc>
          <w:tcPr>
            <w:tcW w:w="0" w:type="auto"/>
            <w:tcBorders>
              <w:top w:val="dotted" w:sz="4" w:space="0" w:color="auto"/>
              <w:bottom w:val="dotted" w:sz="4" w:space="0" w:color="auto"/>
            </w:tcBorders>
            <w:shd w:val="clear" w:color="auto" w:fill="auto"/>
            <w:vAlign w:val="bottom"/>
          </w:tcPr>
          <w:p w14:paraId="7A5B97E9" w14:textId="77777777" w:rsidR="009624DB" w:rsidRPr="00333BE4" w:rsidRDefault="009624DB" w:rsidP="009624DB">
            <w:pPr>
              <w:rPr>
                <w:rFonts w:asciiTheme="minorHAnsi" w:hAnsiTheme="minorHAnsi" w:cs="Calibri"/>
                <w:b/>
                <w:color w:val="000000"/>
                <w:sz w:val="22"/>
                <w:szCs w:val="22"/>
              </w:rPr>
            </w:pPr>
            <w:r w:rsidRPr="00333BE4">
              <w:rPr>
                <w:rFonts w:asciiTheme="minorHAnsi" w:hAnsiTheme="minorHAnsi" w:cs="Calibri"/>
                <w:b/>
                <w:color w:val="000000"/>
                <w:sz w:val="22"/>
                <w:szCs w:val="22"/>
              </w:rPr>
              <w:t>White</w:t>
            </w:r>
          </w:p>
        </w:tc>
        <w:tc>
          <w:tcPr>
            <w:tcW w:w="0" w:type="auto"/>
            <w:tcBorders>
              <w:top w:val="dotted" w:sz="4" w:space="0" w:color="auto"/>
              <w:bottom w:val="dotted" w:sz="4" w:space="0" w:color="auto"/>
            </w:tcBorders>
            <w:shd w:val="clear" w:color="auto" w:fill="auto"/>
            <w:vAlign w:val="bottom"/>
          </w:tcPr>
          <w:p w14:paraId="26DFB2F7" w14:textId="77777777" w:rsidR="009624DB" w:rsidRPr="00333BE4" w:rsidRDefault="009624DB" w:rsidP="009624DB">
            <w:pPr>
              <w:jc w:val="right"/>
              <w:rPr>
                <w:rFonts w:asciiTheme="minorHAnsi" w:hAnsiTheme="minorHAnsi" w:cs="Calibri"/>
                <w:sz w:val="22"/>
                <w:szCs w:val="22"/>
              </w:rPr>
            </w:pPr>
            <w:r w:rsidRPr="00333BE4">
              <w:rPr>
                <w:rFonts w:asciiTheme="minorHAnsi" w:hAnsiTheme="minorHAnsi" w:cs="Calibri"/>
                <w:sz w:val="22"/>
                <w:szCs w:val="22"/>
              </w:rPr>
              <w:t>NA</w:t>
            </w:r>
          </w:p>
        </w:tc>
        <w:tc>
          <w:tcPr>
            <w:tcW w:w="0" w:type="auto"/>
            <w:tcBorders>
              <w:top w:val="dotted" w:sz="4" w:space="0" w:color="auto"/>
              <w:bottom w:val="dotted" w:sz="4" w:space="0" w:color="auto"/>
            </w:tcBorders>
            <w:shd w:val="clear" w:color="auto" w:fill="auto"/>
            <w:vAlign w:val="bottom"/>
          </w:tcPr>
          <w:p w14:paraId="6EE1882B" w14:textId="77777777" w:rsidR="009624DB" w:rsidRPr="00333BE4" w:rsidRDefault="009624DB" w:rsidP="009624DB">
            <w:pPr>
              <w:jc w:val="right"/>
              <w:rPr>
                <w:rFonts w:asciiTheme="minorHAnsi" w:hAnsiTheme="minorHAnsi" w:cs="Calibri"/>
                <w:sz w:val="22"/>
                <w:szCs w:val="22"/>
              </w:rPr>
            </w:pPr>
            <w:r w:rsidRPr="00333BE4">
              <w:rPr>
                <w:rFonts w:asciiTheme="minorHAnsi" w:hAnsiTheme="minorHAnsi" w:cs="Calibri"/>
                <w:sz w:val="22"/>
                <w:szCs w:val="22"/>
              </w:rPr>
              <w:t>697</w:t>
            </w:r>
          </w:p>
        </w:tc>
        <w:tc>
          <w:tcPr>
            <w:tcW w:w="0" w:type="auto"/>
            <w:tcBorders>
              <w:top w:val="dotted" w:sz="4" w:space="0" w:color="auto"/>
              <w:bottom w:val="dotted" w:sz="4" w:space="0" w:color="auto"/>
            </w:tcBorders>
            <w:shd w:val="clear" w:color="auto" w:fill="auto"/>
            <w:vAlign w:val="bottom"/>
          </w:tcPr>
          <w:p w14:paraId="5D31BCAD" w14:textId="77777777" w:rsidR="009624DB" w:rsidRPr="00333BE4" w:rsidRDefault="009624DB" w:rsidP="009624DB">
            <w:pPr>
              <w:jc w:val="right"/>
              <w:rPr>
                <w:rFonts w:asciiTheme="minorHAnsi" w:hAnsiTheme="minorHAnsi" w:cs="Calibri"/>
                <w:i/>
                <w:sz w:val="22"/>
                <w:szCs w:val="22"/>
              </w:rPr>
            </w:pPr>
            <w:r w:rsidRPr="00333BE4">
              <w:rPr>
                <w:rFonts w:asciiTheme="minorHAnsi" w:hAnsiTheme="minorHAnsi" w:cs="Calibri"/>
                <w:i/>
                <w:sz w:val="22"/>
                <w:szCs w:val="22"/>
              </w:rPr>
              <w:t>NA</w:t>
            </w:r>
          </w:p>
        </w:tc>
        <w:tc>
          <w:tcPr>
            <w:tcW w:w="0" w:type="auto"/>
            <w:tcBorders>
              <w:top w:val="dotted" w:sz="4" w:space="0" w:color="auto"/>
              <w:bottom w:val="dotted" w:sz="4" w:space="0" w:color="auto"/>
            </w:tcBorders>
            <w:shd w:val="clear" w:color="auto" w:fill="auto"/>
            <w:vAlign w:val="bottom"/>
          </w:tcPr>
          <w:p w14:paraId="582017C8" w14:textId="77777777" w:rsidR="009624DB" w:rsidRPr="00333BE4" w:rsidRDefault="009624DB" w:rsidP="009624DB">
            <w:pPr>
              <w:jc w:val="right"/>
              <w:rPr>
                <w:rFonts w:asciiTheme="minorHAnsi" w:hAnsiTheme="minorHAnsi" w:cs="Calibri"/>
                <w:sz w:val="22"/>
                <w:szCs w:val="22"/>
              </w:rPr>
            </w:pPr>
            <w:r w:rsidRPr="00333BE4">
              <w:rPr>
                <w:rFonts w:asciiTheme="minorHAnsi" w:hAnsiTheme="minorHAnsi" w:cs="Calibri"/>
                <w:sz w:val="22"/>
                <w:szCs w:val="22"/>
              </w:rPr>
              <w:t>NA</w:t>
            </w:r>
          </w:p>
        </w:tc>
      </w:tr>
      <w:tr w:rsidR="009624DB" w:rsidRPr="00333BE4" w14:paraId="727FF49D" w14:textId="77777777" w:rsidTr="009624DB">
        <w:trPr>
          <w:trHeight w:val="397"/>
        </w:trPr>
        <w:tc>
          <w:tcPr>
            <w:tcW w:w="0" w:type="auto"/>
            <w:tcBorders>
              <w:top w:val="dotted" w:sz="4" w:space="0" w:color="auto"/>
              <w:bottom w:val="dotted" w:sz="4" w:space="0" w:color="auto"/>
            </w:tcBorders>
            <w:shd w:val="clear" w:color="auto" w:fill="auto"/>
            <w:noWrap/>
            <w:vAlign w:val="bottom"/>
            <w:hideMark/>
          </w:tcPr>
          <w:p w14:paraId="60D349A0" w14:textId="77777777" w:rsidR="009624DB" w:rsidRPr="00333BE4" w:rsidRDefault="009624DB" w:rsidP="009624DB">
            <w:pPr>
              <w:rPr>
                <w:rFonts w:asciiTheme="minorHAnsi" w:hAnsiTheme="minorHAnsi" w:cs="Calibri"/>
                <w:b/>
                <w:color w:val="000000"/>
                <w:sz w:val="22"/>
                <w:szCs w:val="22"/>
              </w:rPr>
            </w:pPr>
            <w:r w:rsidRPr="00333BE4">
              <w:rPr>
                <w:rFonts w:asciiTheme="minorHAnsi" w:hAnsiTheme="minorHAnsi" w:cs="Calibri"/>
                <w:b/>
                <w:color w:val="000000"/>
                <w:sz w:val="22"/>
                <w:szCs w:val="22"/>
              </w:rPr>
              <w:t>Disabled</w:t>
            </w:r>
          </w:p>
        </w:tc>
        <w:tc>
          <w:tcPr>
            <w:tcW w:w="0" w:type="auto"/>
            <w:tcBorders>
              <w:top w:val="dotted" w:sz="4" w:space="0" w:color="auto"/>
              <w:bottom w:val="dotted" w:sz="4" w:space="0" w:color="auto"/>
            </w:tcBorders>
            <w:shd w:val="clear" w:color="auto" w:fill="auto"/>
            <w:vAlign w:val="bottom"/>
          </w:tcPr>
          <w:p w14:paraId="24BC66D4" w14:textId="77777777" w:rsidR="009624DB" w:rsidRPr="00333BE4" w:rsidRDefault="009624DB" w:rsidP="009624DB">
            <w:pPr>
              <w:jc w:val="right"/>
              <w:rPr>
                <w:rFonts w:asciiTheme="minorHAnsi" w:hAnsiTheme="minorHAnsi" w:cs="Calibri"/>
                <w:color w:val="000000"/>
                <w:sz w:val="22"/>
                <w:szCs w:val="22"/>
              </w:rPr>
            </w:pPr>
            <w:r w:rsidRPr="00333BE4">
              <w:rPr>
                <w:rFonts w:asciiTheme="minorHAnsi" w:hAnsiTheme="minorHAnsi" w:cs="Calibri"/>
                <w:color w:val="000000"/>
                <w:sz w:val="22"/>
                <w:szCs w:val="22"/>
              </w:rPr>
              <w:t>254</w:t>
            </w:r>
          </w:p>
        </w:tc>
        <w:tc>
          <w:tcPr>
            <w:tcW w:w="0" w:type="auto"/>
            <w:tcBorders>
              <w:top w:val="dotted" w:sz="4" w:space="0" w:color="auto"/>
              <w:bottom w:val="dotted" w:sz="4" w:space="0" w:color="auto"/>
            </w:tcBorders>
            <w:shd w:val="clear" w:color="auto" w:fill="auto"/>
            <w:vAlign w:val="bottom"/>
          </w:tcPr>
          <w:p w14:paraId="6AC1957A" w14:textId="77777777" w:rsidR="009624DB" w:rsidRPr="00333BE4" w:rsidRDefault="009624DB" w:rsidP="009624DB">
            <w:pPr>
              <w:jc w:val="right"/>
              <w:rPr>
                <w:rFonts w:asciiTheme="minorHAnsi" w:hAnsiTheme="minorHAnsi" w:cs="Calibri"/>
                <w:sz w:val="22"/>
                <w:szCs w:val="22"/>
              </w:rPr>
            </w:pPr>
            <w:r w:rsidRPr="00333BE4">
              <w:rPr>
                <w:rFonts w:asciiTheme="minorHAnsi" w:hAnsiTheme="minorHAnsi" w:cs="Calibri"/>
                <w:sz w:val="22"/>
                <w:szCs w:val="22"/>
              </w:rPr>
              <w:t>137</w:t>
            </w:r>
          </w:p>
        </w:tc>
        <w:tc>
          <w:tcPr>
            <w:tcW w:w="0" w:type="auto"/>
            <w:tcBorders>
              <w:top w:val="dotted" w:sz="4" w:space="0" w:color="auto"/>
              <w:bottom w:val="dotted" w:sz="4" w:space="0" w:color="auto"/>
            </w:tcBorders>
            <w:shd w:val="clear" w:color="auto" w:fill="auto"/>
            <w:vAlign w:val="bottom"/>
          </w:tcPr>
          <w:p w14:paraId="1F904795" w14:textId="77777777" w:rsidR="009624DB" w:rsidRPr="00333BE4" w:rsidRDefault="009624DB" w:rsidP="009624DB">
            <w:pPr>
              <w:jc w:val="right"/>
              <w:rPr>
                <w:rFonts w:asciiTheme="minorHAnsi" w:hAnsiTheme="minorHAnsi" w:cs="Calibri"/>
                <w:i/>
                <w:color w:val="000000"/>
                <w:sz w:val="22"/>
                <w:szCs w:val="22"/>
              </w:rPr>
            </w:pPr>
            <w:r w:rsidRPr="00333BE4">
              <w:rPr>
                <w:rFonts w:asciiTheme="minorHAnsi" w:hAnsiTheme="minorHAnsi" w:cs="Calibri"/>
                <w:i/>
                <w:color w:val="000000"/>
                <w:sz w:val="22"/>
                <w:szCs w:val="22"/>
              </w:rPr>
              <w:t>54%</w:t>
            </w:r>
          </w:p>
        </w:tc>
        <w:tc>
          <w:tcPr>
            <w:tcW w:w="0" w:type="auto"/>
            <w:tcBorders>
              <w:top w:val="dotted" w:sz="4" w:space="0" w:color="auto"/>
              <w:bottom w:val="dotted" w:sz="4" w:space="0" w:color="auto"/>
            </w:tcBorders>
            <w:shd w:val="clear" w:color="auto" w:fill="auto"/>
            <w:vAlign w:val="bottom"/>
          </w:tcPr>
          <w:p w14:paraId="7D16E5EF" w14:textId="77777777" w:rsidR="009624DB" w:rsidRPr="00333BE4" w:rsidDel="00FA26C7" w:rsidRDefault="009624DB" w:rsidP="009624DB">
            <w:pPr>
              <w:jc w:val="right"/>
              <w:rPr>
                <w:rFonts w:asciiTheme="minorHAnsi" w:hAnsiTheme="minorHAnsi" w:cs="Calibri"/>
                <w:sz w:val="22"/>
                <w:szCs w:val="22"/>
              </w:rPr>
            </w:pPr>
            <w:r w:rsidRPr="00333BE4">
              <w:rPr>
                <w:rFonts w:asciiTheme="minorHAnsi" w:hAnsiTheme="minorHAnsi" w:cs="Calibri"/>
                <w:sz w:val="22"/>
                <w:szCs w:val="22"/>
              </w:rPr>
              <w:t>+6</w:t>
            </w:r>
          </w:p>
        </w:tc>
      </w:tr>
      <w:tr w:rsidR="009624DB" w:rsidRPr="00333BE4" w14:paraId="74BA66A6" w14:textId="77777777" w:rsidTr="009624DB">
        <w:trPr>
          <w:trHeight w:val="290"/>
        </w:trPr>
        <w:tc>
          <w:tcPr>
            <w:tcW w:w="0" w:type="auto"/>
            <w:tcBorders>
              <w:top w:val="dotted" w:sz="4" w:space="0" w:color="auto"/>
              <w:bottom w:val="dotted" w:sz="4" w:space="0" w:color="auto"/>
            </w:tcBorders>
            <w:shd w:val="clear" w:color="auto" w:fill="auto"/>
            <w:noWrap/>
            <w:vAlign w:val="bottom"/>
          </w:tcPr>
          <w:p w14:paraId="31D80F5E" w14:textId="77777777" w:rsidR="009624DB" w:rsidRPr="00333BE4" w:rsidRDefault="009624DB" w:rsidP="009624DB">
            <w:pPr>
              <w:rPr>
                <w:rFonts w:asciiTheme="minorHAnsi" w:hAnsiTheme="minorHAnsi" w:cs="Calibri"/>
                <w:b/>
                <w:color w:val="000000"/>
                <w:sz w:val="22"/>
                <w:szCs w:val="22"/>
              </w:rPr>
            </w:pPr>
            <w:r w:rsidRPr="00333BE4">
              <w:rPr>
                <w:rFonts w:asciiTheme="minorHAnsi" w:hAnsiTheme="minorHAnsi" w:cs="Calibri"/>
                <w:b/>
                <w:color w:val="000000"/>
                <w:sz w:val="22"/>
                <w:szCs w:val="22"/>
              </w:rPr>
              <w:t>No known disability</w:t>
            </w:r>
          </w:p>
        </w:tc>
        <w:tc>
          <w:tcPr>
            <w:tcW w:w="0" w:type="auto"/>
            <w:tcBorders>
              <w:top w:val="dotted" w:sz="4" w:space="0" w:color="auto"/>
              <w:bottom w:val="dotted" w:sz="4" w:space="0" w:color="auto"/>
            </w:tcBorders>
            <w:shd w:val="clear" w:color="auto" w:fill="auto"/>
            <w:vAlign w:val="bottom"/>
          </w:tcPr>
          <w:p w14:paraId="48D24504" w14:textId="77777777" w:rsidR="009624DB" w:rsidRPr="00333BE4" w:rsidRDefault="009624DB" w:rsidP="009624DB">
            <w:pPr>
              <w:jc w:val="right"/>
              <w:rPr>
                <w:rFonts w:asciiTheme="minorHAnsi" w:hAnsiTheme="minorHAnsi" w:cs="Calibri"/>
                <w:sz w:val="22"/>
                <w:szCs w:val="22"/>
              </w:rPr>
            </w:pPr>
            <w:r w:rsidRPr="00333BE4">
              <w:rPr>
                <w:rFonts w:asciiTheme="minorHAnsi" w:hAnsiTheme="minorHAnsi" w:cs="Calibri"/>
                <w:sz w:val="22"/>
                <w:szCs w:val="22"/>
              </w:rPr>
              <w:t>1849</w:t>
            </w:r>
          </w:p>
        </w:tc>
        <w:tc>
          <w:tcPr>
            <w:tcW w:w="0" w:type="auto"/>
            <w:tcBorders>
              <w:top w:val="dotted" w:sz="4" w:space="0" w:color="auto"/>
              <w:bottom w:val="dotted" w:sz="4" w:space="0" w:color="auto"/>
            </w:tcBorders>
            <w:shd w:val="clear" w:color="auto" w:fill="auto"/>
            <w:vAlign w:val="bottom"/>
          </w:tcPr>
          <w:p w14:paraId="45AE8950" w14:textId="77777777" w:rsidR="009624DB" w:rsidRPr="00333BE4" w:rsidRDefault="009624DB" w:rsidP="009624DB">
            <w:pPr>
              <w:jc w:val="right"/>
              <w:rPr>
                <w:rFonts w:asciiTheme="minorHAnsi" w:hAnsiTheme="minorHAnsi" w:cs="Calibri"/>
                <w:sz w:val="22"/>
                <w:szCs w:val="22"/>
              </w:rPr>
            </w:pPr>
            <w:r w:rsidRPr="00333BE4">
              <w:rPr>
                <w:rFonts w:asciiTheme="minorHAnsi" w:hAnsiTheme="minorHAnsi" w:cs="Calibri"/>
                <w:sz w:val="22"/>
                <w:szCs w:val="22"/>
              </w:rPr>
              <w:t>590</w:t>
            </w:r>
          </w:p>
        </w:tc>
        <w:tc>
          <w:tcPr>
            <w:tcW w:w="0" w:type="auto"/>
            <w:tcBorders>
              <w:top w:val="dotted" w:sz="4" w:space="0" w:color="auto"/>
              <w:bottom w:val="dotted" w:sz="4" w:space="0" w:color="auto"/>
            </w:tcBorders>
            <w:shd w:val="clear" w:color="auto" w:fill="auto"/>
            <w:vAlign w:val="bottom"/>
          </w:tcPr>
          <w:p w14:paraId="53D69A41" w14:textId="77777777" w:rsidR="009624DB" w:rsidRPr="00333BE4" w:rsidRDefault="009624DB" w:rsidP="009624DB">
            <w:pPr>
              <w:jc w:val="right"/>
              <w:rPr>
                <w:rFonts w:asciiTheme="minorHAnsi" w:hAnsiTheme="minorHAnsi" w:cs="Calibri"/>
                <w:i/>
                <w:sz w:val="22"/>
                <w:szCs w:val="22"/>
              </w:rPr>
            </w:pPr>
            <w:r w:rsidRPr="00333BE4">
              <w:rPr>
                <w:rFonts w:asciiTheme="minorHAnsi" w:hAnsiTheme="minorHAnsi" w:cs="Calibri"/>
                <w:i/>
                <w:sz w:val="22"/>
                <w:szCs w:val="22"/>
              </w:rPr>
              <w:t>32%</w:t>
            </w:r>
          </w:p>
        </w:tc>
        <w:tc>
          <w:tcPr>
            <w:tcW w:w="0" w:type="auto"/>
            <w:tcBorders>
              <w:top w:val="dotted" w:sz="4" w:space="0" w:color="auto"/>
              <w:bottom w:val="dotted" w:sz="4" w:space="0" w:color="auto"/>
            </w:tcBorders>
            <w:shd w:val="clear" w:color="auto" w:fill="auto"/>
            <w:vAlign w:val="bottom"/>
          </w:tcPr>
          <w:p w14:paraId="6AE8816F" w14:textId="77777777" w:rsidR="009624DB" w:rsidRPr="00333BE4" w:rsidRDefault="009624DB" w:rsidP="009624DB">
            <w:pPr>
              <w:jc w:val="right"/>
              <w:rPr>
                <w:rFonts w:asciiTheme="minorHAnsi" w:hAnsiTheme="minorHAnsi" w:cs="Calibri"/>
                <w:sz w:val="22"/>
                <w:szCs w:val="22"/>
              </w:rPr>
            </w:pPr>
            <w:r w:rsidRPr="00333BE4">
              <w:rPr>
                <w:rFonts w:asciiTheme="minorHAnsi" w:hAnsiTheme="minorHAnsi" w:cs="Calibri"/>
                <w:sz w:val="22"/>
                <w:szCs w:val="22"/>
              </w:rPr>
              <w:t>-1</w:t>
            </w:r>
          </w:p>
        </w:tc>
      </w:tr>
      <w:tr w:rsidR="009624DB" w:rsidRPr="00333BE4" w14:paraId="7B74E734" w14:textId="77777777" w:rsidTr="009624DB">
        <w:trPr>
          <w:trHeight w:val="534"/>
        </w:trPr>
        <w:tc>
          <w:tcPr>
            <w:tcW w:w="0" w:type="auto"/>
            <w:tcBorders>
              <w:top w:val="dotted" w:sz="4" w:space="0" w:color="auto"/>
              <w:bottom w:val="dotted" w:sz="4" w:space="0" w:color="auto"/>
            </w:tcBorders>
            <w:shd w:val="clear" w:color="auto" w:fill="auto"/>
            <w:noWrap/>
            <w:vAlign w:val="bottom"/>
            <w:hideMark/>
          </w:tcPr>
          <w:p w14:paraId="2E00DABA" w14:textId="77777777" w:rsidR="009624DB" w:rsidRPr="00333BE4" w:rsidRDefault="009624DB" w:rsidP="009624DB">
            <w:pPr>
              <w:rPr>
                <w:rFonts w:asciiTheme="minorHAnsi" w:hAnsiTheme="minorHAnsi" w:cs="Calibri"/>
                <w:b/>
                <w:color w:val="000000"/>
                <w:sz w:val="22"/>
                <w:szCs w:val="22"/>
              </w:rPr>
            </w:pPr>
            <w:r w:rsidRPr="00333BE4">
              <w:rPr>
                <w:rFonts w:asciiTheme="minorHAnsi" w:hAnsiTheme="minorHAnsi" w:cs="Calibri"/>
                <w:b/>
                <w:color w:val="000000"/>
                <w:sz w:val="22"/>
                <w:szCs w:val="22"/>
              </w:rPr>
              <w:t>Male</w:t>
            </w:r>
          </w:p>
        </w:tc>
        <w:tc>
          <w:tcPr>
            <w:tcW w:w="0" w:type="auto"/>
            <w:tcBorders>
              <w:top w:val="dotted" w:sz="4" w:space="0" w:color="auto"/>
              <w:bottom w:val="dotted" w:sz="4" w:space="0" w:color="auto"/>
            </w:tcBorders>
            <w:shd w:val="clear" w:color="auto" w:fill="auto"/>
            <w:vAlign w:val="bottom"/>
          </w:tcPr>
          <w:p w14:paraId="71D3E51D" w14:textId="77777777" w:rsidR="009624DB" w:rsidRPr="00333BE4" w:rsidRDefault="009624DB" w:rsidP="009624DB">
            <w:pPr>
              <w:jc w:val="right"/>
              <w:rPr>
                <w:rFonts w:asciiTheme="minorHAnsi" w:hAnsiTheme="minorHAnsi" w:cs="Calibri"/>
                <w:color w:val="000000"/>
                <w:sz w:val="22"/>
                <w:szCs w:val="22"/>
              </w:rPr>
            </w:pPr>
            <w:r w:rsidRPr="00333BE4">
              <w:rPr>
                <w:rFonts w:asciiTheme="minorHAnsi" w:hAnsiTheme="minorHAnsi" w:cs="Calibri"/>
                <w:color w:val="000000"/>
                <w:sz w:val="22"/>
                <w:szCs w:val="22"/>
              </w:rPr>
              <w:t>405</w:t>
            </w:r>
          </w:p>
        </w:tc>
        <w:tc>
          <w:tcPr>
            <w:tcW w:w="0" w:type="auto"/>
            <w:tcBorders>
              <w:top w:val="dotted" w:sz="4" w:space="0" w:color="auto"/>
              <w:bottom w:val="dotted" w:sz="4" w:space="0" w:color="auto"/>
            </w:tcBorders>
            <w:shd w:val="clear" w:color="auto" w:fill="auto"/>
            <w:vAlign w:val="bottom"/>
          </w:tcPr>
          <w:p w14:paraId="690977AD" w14:textId="77777777" w:rsidR="009624DB" w:rsidRPr="00333BE4" w:rsidRDefault="009624DB" w:rsidP="009624DB">
            <w:pPr>
              <w:jc w:val="right"/>
              <w:rPr>
                <w:rFonts w:asciiTheme="minorHAnsi" w:hAnsiTheme="minorHAnsi" w:cs="Calibri"/>
                <w:sz w:val="22"/>
                <w:szCs w:val="22"/>
              </w:rPr>
            </w:pPr>
            <w:r w:rsidRPr="00333BE4">
              <w:rPr>
                <w:rFonts w:asciiTheme="minorHAnsi" w:hAnsiTheme="minorHAnsi" w:cs="Calibri"/>
                <w:sz w:val="22"/>
                <w:szCs w:val="22"/>
              </w:rPr>
              <w:t>126</w:t>
            </w:r>
          </w:p>
        </w:tc>
        <w:tc>
          <w:tcPr>
            <w:tcW w:w="0" w:type="auto"/>
            <w:tcBorders>
              <w:top w:val="dotted" w:sz="4" w:space="0" w:color="auto"/>
              <w:bottom w:val="dotted" w:sz="4" w:space="0" w:color="auto"/>
            </w:tcBorders>
            <w:shd w:val="clear" w:color="auto" w:fill="auto"/>
            <w:vAlign w:val="bottom"/>
          </w:tcPr>
          <w:p w14:paraId="2B4128A7" w14:textId="77777777" w:rsidR="009624DB" w:rsidRPr="00333BE4" w:rsidRDefault="009624DB" w:rsidP="009624DB">
            <w:pPr>
              <w:jc w:val="right"/>
              <w:rPr>
                <w:rFonts w:asciiTheme="minorHAnsi" w:hAnsiTheme="minorHAnsi" w:cs="Calibri"/>
                <w:i/>
                <w:color w:val="000000"/>
                <w:sz w:val="22"/>
                <w:szCs w:val="22"/>
              </w:rPr>
            </w:pPr>
            <w:r w:rsidRPr="00333BE4">
              <w:rPr>
                <w:rFonts w:asciiTheme="minorHAnsi" w:hAnsiTheme="minorHAnsi" w:cs="Calibri"/>
                <w:i/>
                <w:color w:val="000000"/>
                <w:sz w:val="22"/>
                <w:szCs w:val="22"/>
              </w:rPr>
              <w:t>31%</w:t>
            </w:r>
          </w:p>
        </w:tc>
        <w:tc>
          <w:tcPr>
            <w:tcW w:w="0" w:type="auto"/>
            <w:tcBorders>
              <w:top w:val="dotted" w:sz="4" w:space="0" w:color="auto"/>
              <w:bottom w:val="dotted" w:sz="4" w:space="0" w:color="auto"/>
            </w:tcBorders>
            <w:shd w:val="clear" w:color="auto" w:fill="auto"/>
            <w:vAlign w:val="bottom"/>
          </w:tcPr>
          <w:p w14:paraId="7DC14B5B" w14:textId="77777777" w:rsidR="009624DB" w:rsidRPr="00333BE4" w:rsidDel="00FA26C7" w:rsidRDefault="009624DB" w:rsidP="009624DB">
            <w:pPr>
              <w:jc w:val="right"/>
              <w:rPr>
                <w:rFonts w:asciiTheme="minorHAnsi" w:hAnsiTheme="minorHAnsi" w:cs="Calibri"/>
                <w:sz w:val="22"/>
                <w:szCs w:val="22"/>
              </w:rPr>
            </w:pPr>
            <w:r w:rsidRPr="00333BE4">
              <w:rPr>
                <w:rFonts w:asciiTheme="minorHAnsi" w:hAnsiTheme="minorHAnsi" w:cs="Calibri"/>
                <w:sz w:val="22"/>
                <w:szCs w:val="22"/>
              </w:rPr>
              <w:t>-4</w:t>
            </w:r>
          </w:p>
        </w:tc>
      </w:tr>
      <w:tr w:rsidR="009624DB" w:rsidRPr="00333BE4" w14:paraId="2D461521" w14:textId="77777777" w:rsidTr="009624DB">
        <w:trPr>
          <w:trHeight w:val="290"/>
        </w:trPr>
        <w:tc>
          <w:tcPr>
            <w:tcW w:w="0" w:type="auto"/>
            <w:tcBorders>
              <w:top w:val="dotted" w:sz="4" w:space="0" w:color="auto"/>
              <w:bottom w:val="dotted" w:sz="4" w:space="0" w:color="auto"/>
            </w:tcBorders>
            <w:shd w:val="clear" w:color="auto" w:fill="auto"/>
            <w:noWrap/>
            <w:vAlign w:val="bottom"/>
          </w:tcPr>
          <w:p w14:paraId="4ED6AD8D" w14:textId="77777777" w:rsidR="009624DB" w:rsidRPr="00333BE4" w:rsidRDefault="009624DB" w:rsidP="009624DB">
            <w:pPr>
              <w:rPr>
                <w:rFonts w:asciiTheme="minorHAnsi" w:hAnsiTheme="minorHAnsi" w:cs="Calibri"/>
                <w:b/>
                <w:color w:val="000000"/>
                <w:sz w:val="22"/>
                <w:szCs w:val="22"/>
              </w:rPr>
            </w:pPr>
            <w:r w:rsidRPr="00333BE4">
              <w:rPr>
                <w:rFonts w:asciiTheme="minorHAnsi" w:hAnsiTheme="minorHAnsi" w:cs="Calibri"/>
                <w:b/>
                <w:color w:val="000000"/>
                <w:sz w:val="22"/>
                <w:szCs w:val="22"/>
              </w:rPr>
              <w:t>Female</w:t>
            </w:r>
          </w:p>
        </w:tc>
        <w:tc>
          <w:tcPr>
            <w:tcW w:w="0" w:type="auto"/>
            <w:tcBorders>
              <w:top w:val="dotted" w:sz="4" w:space="0" w:color="auto"/>
              <w:bottom w:val="dotted" w:sz="4" w:space="0" w:color="auto"/>
            </w:tcBorders>
            <w:shd w:val="clear" w:color="auto" w:fill="auto"/>
            <w:vAlign w:val="bottom"/>
          </w:tcPr>
          <w:p w14:paraId="1CCCD736" w14:textId="77777777" w:rsidR="009624DB" w:rsidRPr="00333BE4" w:rsidRDefault="009624DB" w:rsidP="009624DB">
            <w:pPr>
              <w:jc w:val="right"/>
              <w:rPr>
                <w:rFonts w:asciiTheme="minorHAnsi" w:hAnsiTheme="minorHAnsi" w:cs="Calibri"/>
                <w:sz w:val="22"/>
                <w:szCs w:val="22"/>
              </w:rPr>
            </w:pPr>
            <w:r w:rsidRPr="00333BE4">
              <w:rPr>
                <w:rFonts w:asciiTheme="minorHAnsi" w:hAnsiTheme="minorHAnsi" w:cs="Calibri"/>
                <w:sz w:val="22"/>
                <w:szCs w:val="22"/>
              </w:rPr>
              <w:t>1698</w:t>
            </w:r>
          </w:p>
        </w:tc>
        <w:tc>
          <w:tcPr>
            <w:tcW w:w="0" w:type="auto"/>
            <w:tcBorders>
              <w:top w:val="dotted" w:sz="4" w:space="0" w:color="auto"/>
              <w:bottom w:val="dotted" w:sz="4" w:space="0" w:color="auto"/>
            </w:tcBorders>
            <w:shd w:val="clear" w:color="auto" w:fill="auto"/>
            <w:vAlign w:val="bottom"/>
          </w:tcPr>
          <w:p w14:paraId="7968F60D" w14:textId="77777777" w:rsidR="009624DB" w:rsidRPr="00333BE4" w:rsidRDefault="009624DB" w:rsidP="009624DB">
            <w:pPr>
              <w:jc w:val="right"/>
              <w:rPr>
                <w:rFonts w:asciiTheme="minorHAnsi" w:hAnsiTheme="minorHAnsi" w:cs="Calibri"/>
                <w:sz w:val="22"/>
                <w:szCs w:val="22"/>
              </w:rPr>
            </w:pPr>
            <w:r w:rsidRPr="00333BE4">
              <w:rPr>
                <w:rFonts w:asciiTheme="minorHAnsi" w:hAnsiTheme="minorHAnsi" w:cs="Calibri"/>
                <w:sz w:val="22"/>
                <w:szCs w:val="22"/>
              </w:rPr>
              <w:t>601</w:t>
            </w:r>
          </w:p>
        </w:tc>
        <w:tc>
          <w:tcPr>
            <w:tcW w:w="0" w:type="auto"/>
            <w:tcBorders>
              <w:top w:val="dotted" w:sz="4" w:space="0" w:color="auto"/>
              <w:bottom w:val="dotted" w:sz="4" w:space="0" w:color="auto"/>
            </w:tcBorders>
            <w:shd w:val="clear" w:color="auto" w:fill="auto"/>
            <w:vAlign w:val="bottom"/>
          </w:tcPr>
          <w:p w14:paraId="4AB43CD8" w14:textId="77777777" w:rsidR="009624DB" w:rsidRPr="00333BE4" w:rsidRDefault="009624DB" w:rsidP="009624DB">
            <w:pPr>
              <w:jc w:val="right"/>
              <w:rPr>
                <w:rFonts w:asciiTheme="minorHAnsi" w:hAnsiTheme="minorHAnsi" w:cs="Calibri"/>
                <w:i/>
                <w:sz w:val="22"/>
                <w:szCs w:val="22"/>
              </w:rPr>
            </w:pPr>
            <w:r w:rsidRPr="00333BE4">
              <w:rPr>
                <w:rFonts w:asciiTheme="minorHAnsi" w:hAnsiTheme="minorHAnsi" w:cs="Calibri"/>
                <w:i/>
                <w:sz w:val="22"/>
                <w:szCs w:val="22"/>
              </w:rPr>
              <w:t>35%</w:t>
            </w:r>
          </w:p>
        </w:tc>
        <w:tc>
          <w:tcPr>
            <w:tcW w:w="0" w:type="auto"/>
            <w:tcBorders>
              <w:top w:val="dotted" w:sz="4" w:space="0" w:color="auto"/>
              <w:bottom w:val="dotted" w:sz="4" w:space="0" w:color="auto"/>
            </w:tcBorders>
            <w:shd w:val="clear" w:color="auto" w:fill="auto"/>
            <w:vAlign w:val="bottom"/>
          </w:tcPr>
          <w:p w14:paraId="7F8F0880" w14:textId="77777777" w:rsidR="009624DB" w:rsidRPr="00333BE4" w:rsidRDefault="009624DB" w:rsidP="009624DB">
            <w:pPr>
              <w:jc w:val="right"/>
              <w:rPr>
                <w:rFonts w:asciiTheme="minorHAnsi" w:hAnsiTheme="minorHAnsi" w:cs="Calibri"/>
                <w:sz w:val="22"/>
                <w:szCs w:val="22"/>
              </w:rPr>
            </w:pPr>
            <w:r w:rsidRPr="00333BE4">
              <w:rPr>
                <w:rFonts w:asciiTheme="minorHAnsi" w:hAnsiTheme="minorHAnsi" w:cs="Calibri"/>
                <w:sz w:val="22"/>
                <w:szCs w:val="22"/>
              </w:rPr>
              <w:t>+1</w:t>
            </w:r>
          </w:p>
        </w:tc>
      </w:tr>
      <w:tr w:rsidR="009624DB" w:rsidRPr="00333BE4" w14:paraId="4452E2CC" w14:textId="77777777" w:rsidTr="009624DB">
        <w:trPr>
          <w:trHeight w:val="405"/>
        </w:trPr>
        <w:tc>
          <w:tcPr>
            <w:tcW w:w="0" w:type="auto"/>
            <w:tcBorders>
              <w:top w:val="dotted" w:sz="4" w:space="0" w:color="auto"/>
              <w:bottom w:val="dotted" w:sz="4" w:space="0" w:color="auto"/>
            </w:tcBorders>
            <w:shd w:val="clear" w:color="auto" w:fill="auto"/>
            <w:noWrap/>
            <w:vAlign w:val="bottom"/>
            <w:hideMark/>
          </w:tcPr>
          <w:p w14:paraId="74A56BED" w14:textId="77777777" w:rsidR="009624DB" w:rsidRPr="00333BE4" w:rsidRDefault="009624DB" w:rsidP="009624DB">
            <w:pPr>
              <w:rPr>
                <w:rFonts w:asciiTheme="minorHAnsi" w:hAnsiTheme="minorHAnsi" w:cs="Calibri"/>
                <w:b/>
                <w:color w:val="000000"/>
                <w:sz w:val="22"/>
                <w:szCs w:val="22"/>
              </w:rPr>
            </w:pPr>
            <w:r w:rsidRPr="00333BE4">
              <w:rPr>
                <w:rFonts w:asciiTheme="minorHAnsi" w:hAnsiTheme="minorHAnsi" w:cs="Calibri"/>
                <w:b/>
                <w:color w:val="000000"/>
                <w:sz w:val="22"/>
                <w:szCs w:val="22"/>
              </w:rPr>
              <w:t>Mature</w:t>
            </w:r>
          </w:p>
        </w:tc>
        <w:tc>
          <w:tcPr>
            <w:tcW w:w="0" w:type="auto"/>
            <w:tcBorders>
              <w:top w:val="dotted" w:sz="4" w:space="0" w:color="auto"/>
              <w:bottom w:val="dotted" w:sz="4" w:space="0" w:color="auto"/>
            </w:tcBorders>
            <w:vAlign w:val="bottom"/>
          </w:tcPr>
          <w:p w14:paraId="092A543E" w14:textId="77777777" w:rsidR="009624DB" w:rsidRPr="00333BE4" w:rsidRDefault="009624DB" w:rsidP="009624DB">
            <w:pPr>
              <w:jc w:val="right"/>
              <w:rPr>
                <w:rFonts w:asciiTheme="minorHAnsi" w:hAnsiTheme="minorHAnsi" w:cs="Calibri"/>
                <w:color w:val="000000"/>
                <w:sz w:val="22"/>
                <w:szCs w:val="22"/>
              </w:rPr>
            </w:pPr>
            <w:r w:rsidRPr="00333BE4">
              <w:rPr>
                <w:rFonts w:asciiTheme="minorHAnsi" w:hAnsiTheme="minorHAnsi" w:cs="Calibri"/>
                <w:color w:val="000000"/>
                <w:sz w:val="22"/>
                <w:szCs w:val="22"/>
              </w:rPr>
              <w:t>397</w:t>
            </w:r>
          </w:p>
        </w:tc>
        <w:tc>
          <w:tcPr>
            <w:tcW w:w="0" w:type="auto"/>
            <w:tcBorders>
              <w:top w:val="dotted" w:sz="4" w:space="0" w:color="auto"/>
              <w:bottom w:val="dotted" w:sz="4" w:space="0" w:color="auto"/>
            </w:tcBorders>
            <w:vAlign w:val="bottom"/>
          </w:tcPr>
          <w:p w14:paraId="37EE8CCA" w14:textId="77777777" w:rsidR="009624DB" w:rsidRPr="00333BE4" w:rsidRDefault="009624DB" w:rsidP="009624DB">
            <w:pPr>
              <w:jc w:val="right"/>
              <w:rPr>
                <w:rFonts w:asciiTheme="minorHAnsi" w:hAnsiTheme="minorHAnsi" w:cs="Calibri"/>
                <w:sz w:val="22"/>
                <w:szCs w:val="22"/>
              </w:rPr>
            </w:pPr>
            <w:r w:rsidRPr="00333BE4">
              <w:rPr>
                <w:rFonts w:asciiTheme="minorHAnsi" w:hAnsiTheme="minorHAnsi" w:cs="Calibri"/>
                <w:sz w:val="22"/>
                <w:szCs w:val="22"/>
              </w:rPr>
              <w:t>244</w:t>
            </w:r>
          </w:p>
        </w:tc>
        <w:tc>
          <w:tcPr>
            <w:tcW w:w="0" w:type="auto"/>
            <w:tcBorders>
              <w:top w:val="dotted" w:sz="4" w:space="0" w:color="auto"/>
              <w:bottom w:val="dotted" w:sz="4" w:space="0" w:color="auto"/>
            </w:tcBorders>
            <w:vAlign w:val="bottom"/>
          </w:tcPr>
          <w:p w14:paraId="559BF90C" w14:textId="77777777" w:rsidR="009624DB" w:rsidRPr="00333BE4" w:rsidRDefault="009624DB" w:rsidP="009624DB">
            <w:pPr>
              <w:jc w:val="right"/>
              <w:rPr>
                <w:rFonts w:asciiTheme="minorHAnsi" w:hAnsiTheme="minorHAnsi" w:cs="Calibri"/>
                <w:i/>
                <w:color w:val="000000"/>
                <w:sz w:val="22"/>
                <w:szCs w:val="22"/>
              </w:rPr>
            </w:pPr>
            <w:r w:rsidRPr="00333BE4">
              <w:rPr>
                <w:rFonts w:asciiTheme="minorHAnsi" w:hAnsiTheme="minorHAnsi" w:cs="Calibri"/>
                <w:i/>
                <w:color w:val="000000"/>
                <w:sz w:val="22"/>
                <w:szCs w:val="22"/>
              </w:rPr>
              <w:t>61%</w:t>
            </w:r>
          </w:p>
        </w:tc>
        <w:tc>
          <w:tcPr>
            <w:tcW w:w="0" w:type="auto"/>
            <w:tcBorders>
              <w:top w:val="dotted" w:sz="4" w:space="0" w:color="auto"/>
              <w:bottom w:val="dotted" w:sz="4" w:space="0" w:color="auto"/>
            </w:tcBorders>
            <w:vAlign w:val="bottom"/>
          </w:tcPr>
          <w:p w14:paraId="5BAE2F21" w14:textId="77777777" w:rsidR="009624DB" w:rsidRPr="00333BE4" w:rsidDel="00FA26C7" w:rsidRDefault="009624DB" w:rsidP="009624DB">
            <w:pPr>
              <w:jc w:val="right"/>
              <w:rPr>
                <w:rFonts w:asciiTheme="minorHAnsi" w:hAnsiTheme="minorHAnsi" w:cs="Calibri"/>
                <w:sz w:val="22"/>
                <w:szCs w:val="22"/>
              </w:rPr>
            </w:pPr>
            <w:r w:rsidRPr="00333BE4">
              <w:rPr>
                <w:rFonts w:asciiTheme="minorHAnsi" w:hAnsiTheme="minorHAnsi" w:cs="Calibri"/>
                <w:sz w:val="22"/>
                <w:szCs w:val="22"/>
              </w:rPr>
              <w:t>+2</w:t>
            </w:r>
          </w:p>
        </w:tc>
      </w:tr>
      <w:tr w:rsidR="009624DB" w:rsidRPr="00333BE4" w14:paraId="5C66D322" w14:textId="77777777" w:rsidTr="009624DB">
        <w:trPr>
          <w:trHeight w:val="290"/>
        </w:trPr>
        <w:tc>
          <w:tcPr>
            <w:tcW w:w="0" w:type="auto"/>
            <w:tcBorders>
              <w:top w:val="dotted" w:sz="4" w:space="0" w:color="auto"/>
              <w:bottom w:val="dotted" w:sz="4" w:space="0" w:color="auto"/>
            </w:tcBorders>
            <w:shd w:val="clear" w:color="auto" w:fill="auto"/>
            <w:noWrap/>
            <w:vAlign w:val="bottom"/>
          </w:tcPr>
          <w:p w14:paraId="3AD395D5" w14:textId="77777777" w:rsidR="009624DB" w:rsidRPr="00333BE4" w:rsidRDefault="009624DB" w:rsidP="009624DB">
            <w:pPr>
              <w:rPr>
                <w:rFonts w:asciiTheme="minorHAnsi" w:hAnsiTheme="minorHAnsi" w:cs="Calibri"/>
                <w:b/>
                <w:color w:val="000000"/>
                <w:sz w:val="22"/>
                <w:szCs w:val="22"/>
              </w:rPr>
            </w:pPr>
            <w:r w:rsidRPr="00333BE4">
              <w:rPr>
                <w:rFonts w:asciiTheme="minorHAnsi" w:hAnsiTheme="minorHAnsi" w:cs="Calibri"/>
                <w:b/>
                <w:color w:val="000000"/>
                <w:sz w:val="22"/>
                <w:szCs w:val="22"/>
              </w:rPr>
              <w:t>Young</w:t>
            </w:r>
          </w:p>
        </w:tc>
        <w:tc>
          <w:tcPr>
            <w:tcW w:w="0" w:type="auto"/>
            <w:tcBorders>
              <w:top w:val="dotted" w:sz="4" w:space="0" w:color="auto"/>
              <w:bottom w:val="dotted" w:sz="4" w:space="0" w:color="auto"/>
            </w:tcBorders>
            <w:vAlign w:val="bottom"/>
          </w:tcPr>
          <w:p w14:paraId="6227F188" w14:textId="77777777" w:rsidR="009624DB" w:rsidRPr="00333BE4" w:rsidRDefault="009624DB" w:rsidP="009624DB">
            <w:pPr>
              <w:jc w:val="right"/>
              <w:rPr>
                <w:rFonts w:asciiTheme="minorHAnsi" w:hAnsiTheme="minorHAnsi" w:cs="Calibri"/>
                <w:sz w:val="22"/>
                <w:szCs w:val="22"/>
              </w:rPr>
            </w:pPr>
            <w:r w:rsidRPr="00333BE4">
              <w:rPr>
                <w:rFonts w:asciiTheme="minorHAnsi" w:hAnsiTheme="minorHAnsi" w:cs="Calibri"/>
                <w:sz w:val="22"/>
                <w:szCs w:val="22"/>
              </w:rPr>
              <w:t>1706</w:t>
            </w:r>
          </w:p>
        </w:tc>
        <w:tc>
          <w:tcPr>
            <w:tcW w:w="0" w:type="auto"/>
            <w:tcBorders>
              <w:top w:val="dotted" w:sz="4" w:space="0" w:color="auto"/>
              <w:bottom w:val="dotted" w:sz="4" w:space="0" w:color="auto"/>
            </w:tcBorders>
            <w:vAlign w:val="bottom"/>
          </w:tcPr>
          <w:p w14:paraId="3169D07D" w14:textId="77777777" w:rsidR="009624DB" w:rsidRPr="00333BE4" w:rsidRDefault="009624DB" w:rsidP="009624DB">
            <w:pPr>
              <w:jc w:val="right"/>
              <w:rPr>
                <w:rFonts w:asciiTheme="minorHAnsi" w:hAnsiTheme="minorHAnsi" w:cs="Calibri"/>
                <w:sz w:val="22"/>
                <w:szCs w:val="22"/>
              </w:rPr>
            </w:pPr>
            <w:r w:rsidRPr="00333BE4">
              <w:rPr>
                <w:rFonts w:asciiTheme="minorHAnsi" w:hAnsiTheme="minorHAnsi" w:cs="Calibri"/>
                <w:sz w:val="22"/>
                <w:szCs w:val="22"/>
              </w:rPr>
              <w:t>483</w:t>
            </w:r>
          </w:p>
        </w:tc>
        <w:tc>
          <w:tcPr>
            <w:tcW w:w="0" w:type="auto"/>
            <w:tcBorders>
              <w:top w:val="dotted" w:sz="4" w:space="0" w:color="auto"/>
              <w:bottom w:val="dotted" w:sz="4" w:space="0" w:color="auto"/>
            </w:tcBorders>
            <w:vAlign w:val="bottom"/>
          </w:tcPr>
          <w:p w14:paraId="43701C55" w14:textId="77777777" w:rsidR="009624DB" w:rsidRPr="00333BE4" w:rsidRDefault="009624DB" w:rsidP="009624DB">
            <w:pPr>
              <w:jc w:val="right"/>
              <w:rPr>
                <w:rFonts w:asciiTheme="minorHAnsi" w:hAnsiTheme="minorHAnsi" w:cs="Calibri"/>
                <w:i/>
                <w:sz w:val="22"/>
                <w:szCs w:val="22"/>
              </w:rPr>
            </w:pPr>
            <w:r w:rsidRPr="00333BE4">
              <w:rPr>
                <w:rFonts w:asciiTheme="minorHAnsi" w:hAnsiTheme="minorHAnsi" w:cs="Calibri"/>
                <w:i/>
                <w:sz w:val="22"/>
                <w:szCs w:val="22"/>
              </w:rPr>
              <w:t>28%</w:t>
            </w:r>
          </w:p>
        </w:tc>
        <w:tc>
          <w:tcPr>
            <w:tcW w:w="0" w:type="auto"/>
            <w:tcBorders>
              <w:top w:val="dotted" w:sz="4" w:space="0" w:color="auto"/>
              <w:bottom w:val="dotted" w:sz="4" w:space="0" w:color="auto"/>
            </w:tcBorders>
            <w:vAlign w:val="bottom"/>
          </w:tcPr>
          <w:p w14:paraId="3EFBC950" w14:textId="77777777" w:rsidR="009624DB" w:rsidRPr="00333BE4" w:rsidRDefault="009624DB" w:rsidP="009624DB">
            <w:pPr>
              <w:jc w:val="right"/>
              <w:rPr>
                <w:rFonts w:asciiTheme="minorHAnsi" w:hAnsiTheme="minorHAnsi" w:cs="Calibri"/>
                <w:sz w:val="22"/>
                <w:szCs w:val="22"/>
              </w:rPr>
            </w:pPr>
            <w:r w:rsidRPr="00333BE4">
              <w:rPr>
                <w:rFonts w:asciiTheme="minorHAnsi" w:hAnsiTheme="minorHAnsi" w:cs="Calibri"/>
                <w:sz w:val="22"/>
                <w:szCs w:val="22"/>
              </w:rPr>
              <w:t>+2</w:t>
            </w:r>
          </w:p>
        </w:tc>
      </w:tr>
      <w:tr w:rsidR="009624DB" w:rsidRPr="00333BE4" w14:paraId="58CA9BE1" w14:textId="77777777" w:rsidTr="009624DB">
        <w:trPr>
          <w:trHeight w:val="529"/>
        </w:trPr>
        <w:tc>
          <w:tcPr>
            <w:tcW w:w="0" w:type="auto"/>
            <w:tcBorders>
              <w:top w:val="dotted" w:sz="4" w:space="0" w:color="auto"/>
              <w:bottom w:val="single" w:sz="4" w:space="0" w:color="auto"/>
            </w:tcBorders>
            <w:shd w:val="clear" w:color="auto" w:fill="auto"/>
            <w:noWrap/>
            <w:vAlign w:val="bottom"/>
            <w:hideMark/>
          </w:tcPr>
          <w:p w14:paraId="6FBEADB8" w14:textId="77777777" w:rsidR="009624DB" w:rsidRPr="00333BE4" w:rsidRDefault="009624DB" w:rsidP="009624DB">
            <w:pPr>
              <w:rPr>
                <w:rFonts w:asciiTheme="minorHAnsi" w:hAnsiTheme="minorHAnsi" w:cs="Calibri"/>
                <w:b/>
                <w:color w:val="000000"/>
                <w:sz w:val="22"/>
                <w:szCs w:val="22"/>
              </w:rPr>
            </w:pPr>
            <w:r w:rsidRPr="00333BE4">
              <w:rPr>
                <w:rFonts w:asciiTheme="minorHAnsi" w:hAnsiTheme="minorHAnsi" w:cs="Calibri"/>
                <w:b/>
                <w:color w:val="000000"/>
                <w:sz w:val="22"/>
                <w:szCs w:val="22"/>
              </w:rPr>
              <w:t>All</w:t>
            </w:r>
          </w:p>
        </w:tc>
        <w:tc>
          <w:tcPr>
            <w:tcW w:w="0" w:type="auto"/>
            <w:tcBorders>
              <w:top w:val="dotted" w:sz="4" w:space="0" w:color="auto"/>
              <w:bottom w:val="single" w:sz="4" w:space="0" w:color="auto"/>
            </w:tcBorders>
            <w:vAlign w:val="bottom"/>
          </w:tcPr>
          <w:p w14:paraId="011B5B0B" w14:textId="77777777" w:rsidR="009624DB" w:rsidRPr="00333BE4" w:rsidRDefault="009624DB" w:rsidP="009624DB">
            <w:pPr>
              <w:jc w:val="right"/>
              <w:rPr>
                <w:rFonts w:asciiTheme="minorHAnsi" w:hAnsiTheme="minorHAnsi" w:cs="Calibri"/>
                <w:b/>
                <w:color w:val="000000"/>
                <w:sz w:val="22"/>
                <w:szCs w:val="22"/>
              </w:rPr>
            </w:pPr>
            <w:r w:rsidRPr="00333BE4">
              <w:rPr>
                <w:rFonts w:asciiTheme="minorHAnsi" w:hAnsiTheme="minorHAnsi" w:cs="Calibri"/>
                <w:b/>
                <w:color w:val="000000"/>
                <w:sz w:val="22"/>
                <w:szCs w:val="22"/>
              </w:rPr>
              <w:t>2103</w:t>
            </w:r>
          </w:p>
        </w:tc>
        <w:tc>
          <w:tcPr>
            <w:tcW w:w="0" w:type="auto"/>
            <w:tcBorders>
              <w:top w:val="dotted" w:sz="4" w:space="0" w:color="auto"/>
              <w:bottom w:val="single" w:sz="4" w:space="0" w:color="auto"/>
            </w:tcBorders>
            <w:vAlign w:val="bottom"/>
          </w:tcPr>
          <w:p w14:paraId="11805764" w14:textId="77777777" w:rsidR="009624DB" w:rsidRPr="00333BE4" w:rsidRDefault="009624DB" w:rsidP="009624DB">
            <w:pPr>
              <w:jc w:val="right"/>
              <w:rPr>
                <w:rFonts w:asciiTheme="minorHAnsi" w:hAnsiTheme="minorHAnsi" w:cs="Calibri"/>
                <w:b/>
                <w:sz w:val="22"/>
                <w:szCs w:val="22"/>
              </w:rPr>
            </w:pPr>
            <w:r w:rsidRPr="00333BE4">
              <w:rPr>
                <w:rFonts w:asciiTheme="minorHAnsi" w:hAnsiTheme="minorHAnsi" w:cs="Calibri"/>
                <w:b/>
                <w:sz w:val="22"/>
                <w:szCs w:val="22"/>
              </w:rPr>
              <w:t>727</w:t>
            </w:r>
          </w:p>
        </w:tc>
        <w:tc>
          <w:tcPr>
            <w:tcW w:w="0" w:type="auto"/>
            <w:tcBorders>
              <w:top w:val="dotted" w:sz="4" w:space="0" w:color="auto"/>
              <w:bottom w:val="single" w:sz="4" w:space="0" w:color="auto"/>
            </w:tcBorders>
            <w:vAlign w:val="bottom"/>
          </w:tcPr>
          <w:p w14:paraId="03A5591F" w14:textId="77777777" w:rsidR="009624DB" w:rsidRPr="00333BE4" w:rsidRDefault="009624DB" w:rsidP="009624DB">
            <w:pPr>
              <w:jc w:val="right"/>
              <w:rPr>
                <w:rFonts w:asciiTheme="minorHAnsi" w:hAnsiTheme="minorHAnsi" w:cs="Calibri"/>
                <w:b/>
                <w:i/>
                <w:color w:val="000000"/>
                <w:sz w:val="22"/>
                <w:szCs w:val="22"/>
              </w:rPr>
            </w:pPr>
            <w:r w:rsidRPr="00333BE4">
              <w:rPr>
                <w:rFonts w:asciiTheme="minorHAnsi" w:hAnsiTheme="minorHAnsi" w:cs="Calibri"/>
                <w:b/>
                <w:i/>
                <w:color w:val="000000"/>
                <w:sz w:val="22"/>
                <w:szCs w:val="22"/>
              </w:rPr>
              <w:t>35%</w:t>
            </w:r>
          </w:p>
        </w:tc>
        <w:tc>
          <w:tcPr>
            <w:tcW w:w="0" w:type="auto"/>
            <w:tcBorders>
              <w:top w:val="dotted" w:sz="4" w:space="0" w:color="auto"/>
              <w:bottom w:val="single" w:sz="4" w:space="0" w:color="auto"/>
            </w:tcBorders>
            <w:vAlign w:val="bottom"/>
          </w:tcPr>
          <w:p w14:paraId="7958A54E" w14:textId="77777777" w:rsidR="009624DB" w:rsidRPr="00333BE4" w:rsidRDefault="009624DB" w:rsidP="009624DB">
            <w:pPr>
              <w:jc w:val="right"/>
              <w:rPr>
                <w:rFonts w:asciiTheme="minorHAnsi" w:hAnsiTheme="minorHAnsi" w:cs="Calibri"/>
                <w:b/>
                <w:color w:val="000000"/>
                <w:sz w:val="22"/>
                <w:szCs w:val="22"/>
              </w:rPr>
            </w:pPr>
            <w:r w:rsidRPr="00333BE4">
              <w:rPr>
                <w:rFonts w:asciiTheme="minorHAnsi" w:hAnsiTheme="minorHAnsi" w:cs="Calibri"/>
                <w:b/>
                <w:color w:val="000000"/>
                <w:sz w:val="22"/>
                <w:szCs w:val="22"/>
              </w:rPr>
              <w:t>0</w:t>
            </w:r>
          </w:p>
        </w:tc>
      </w:tr>
    </w:tbl>
    <w:p w14:paraId="00818C03" w14:textId="77777777" w:rsidR="00F4543F" w:rsidRDefault="00F4543F" w:rsidP="009E6A66">
      <w:pPr>
        <w:rPr>
          <w:rFonts w:asciiTheme="minorHAnsi" w:hAnsiTheme="minorHAnsi"/>
          <w:b/>
          <w:sz w:val="22"/>
          <w:szCs w:val="22"/>
        </w:rPr>
      </w:pPr>
    </w:p>
    <w:p w14:paraId="2602100D" w14:textId="77777777" w:rsidR="00C4229E" w:rsidRDefault="00C4229E" w:rsidP="009E6A66">
      <w:pPr>
        <w:rPr>
          <w:rFonts w:asciiTheme="minorHAnsi" w:hAnsiTheme="minorHAnsi"/>
          <w:b/>
          <w:sz w:val="22"/>
          <w:szCs w:val="22"/>
        </w:rPr>
      </w:pPr>
    </w:p>
    <w:p w14:paraId="382E979E" w14:textId="77777777" w:rsidR="00C4229E" w:rsidRDefault="00C4229E" w:rsidP="009E6A66">
      <w:pPr>
        <w:rPr>
          <w:rFonts w:asciiTheme="minorHAnsi" w:hAnsiTheme="minorHAnsi"/>
          <w:b/>
          <w:sz w:val="22"/>
          <w:szCs w:val="22"/>
        </w:rPr>
      </w:pPr>
    </w:p>
    <w:p w14:paraId="6E7B5A84" w14:textId="77777777" w:rsidR="00C4229E" w:rsidRDefault="00C4229E" w:rsidP="009E6A66">
      <w:pPr>
        <w:rPr>
          <w:rFonts w:asciiTheme="minorHAnsi" w:hAnsiTheme="minorHAnsi"/>
          <w:b/>
          <w:sz w:val="22"/>
          <w:szCs w:val="22"/>
        </w:rPr>
      </w:pPr>
    </w:p>
    <w:p w14:paraId="0D4C7D28" w14:textId="77777777" w:rsidR="00C4229E" w:rsidRDefault="00C4229E" w:rsidP="009E6A66">
      <w:pPr>
        <w:rPr>
          <w:rFonts w:asciiTheme="minorHAnsi" w:hAnsiTheme="minorHAnsi"/>
          <w:b/>
          <w:sz w:val="22"/>
          <w:szCs w:val="22"/>
        </w:rPr>
      </w:pPr>
    </w:p>
    <w:p w14:paraId="4A6A1D1B" w14:textId="77777777" w:rsidR="00C4229E" w:rsidRDefault="00C4229E" w:rsidP="009E6A66">
      <w:pPr>
        <w:rPr>
          <w:rFonts w:asciiTheme="minorHAnsi" w:hAnsiTheme="minorHAnsi"/>
          <w:b/>
          <w:sz w:val="22"/>
          <w:szCs w:val="22"/>
        </w:rPr>
      </w:pPr>
    </w:p>
    <w:p w14:paraId="63EB69C7" w14:textId="77777777" w:rsidR="00C4229E" w:rsidRDefault="00C4229E" w:rsidP="009E6A66">
      <w:pPr>
        <w:rPr>
          <w:rFonts w:asciiTheme="minorHAnsi" w:hAnsiTheme="minorHAnsi"/>
          <w:b/>
          <w:sz w:val="22"/>
          <w:szCs w:val="22"/>
        </w:rPr>
      </w:pPr>
    </w:p>
    <w:p w14:paraId="5945D062" w14:textId="77777777" w:rsidR="00C4229E" w:rsidRDefault="00C4229E" w:rsidP="009E6A66">
      <w:pPr>
        <w:rPr>
          <w:rFonts w:asciiTheme="minorHAnsi" w:hAnsiTheme="minorHAnsi"/>
          <w:b/>
          <w:sz w:val="22"/>
          <w:szCs w:val="22"/>
        </w:rPr>
      </w:pPr>
    </w:p>
    <w:p w14:paraId="66581851" w14:textId="77777777" w:rsidR="00C4229E" w:rsidRDefault="00C4229E" w:rsidP="009E6A66">
      <w:pPr>
        <w:rPr>
          <w:rFonts w:asciiTheme="minorHAnsi" w:hAnsiTheme="minorHAnsi"/>
          <w:b/>
          <w:sz w:val="22"/>
          <w:szCs w:val="22"/>
        </w:rPr>
      </w:pPr>
    </w:p>
    <w:p w14:paraId="5CA9B7A9" w14:textId="77777777" w:rsidR="00C4229E" w:rsidRDefault="00C4229E" w:rsidP="009E6A66">
      <w:pPr>
        <w:rPr>
          <w:rFonts w:asciiTheme="minorHAnsi" w:hAnsiTheme="minorHAnsi"/>
          <w:b/>
          <w:sz w:val="22"/>
          <w:szCs w:val="22"/>
        </w:rPr>
      </w:pPr>
    </w:p>
    <w:p w14:paraId="75F7BF3C" w14:textId="77777777" w:rsidR="00C4229E" w:rsidRDefault="00C4229E" w:rsidP="009E6A66">
      <w:pPr>
        <w:rPr>
          <w:rFonts w:asciiTheme="minorHAnsi" w:hAnsiTheme="minorHAnsi"/>
          <w:b/>
          <w:sz w:val="22"/>
          <w:szCs w:val="22"/>
        </w:rPr>
      </w:pPr>
    </w:p>
    <w:p w14:paraId="3C704FC4" w14:textId="77777777" w:rsidR="00C4229E" w:rsidRDefault="00C4229E" w:rsidP="009E6A66">
      <w:pPr>
        <w:rPr>
          <w:rFonts w:asciiTheme="minorHAnsi" w:hAnsiTheme="minorHAnsi"/>
          <w:b/>
          <w:sz w:val="22"/>
          <w:szCs w:val="22"/>
        </w:rPr>
      </w:pPr>
    </w:p>
    <w:p w14:paraId="3BB0EC7E" w14:textId="77777777" w:rsidR="00C4229E" w:rsidRDefault="00C4229E" w:rsidP="009E6A66">
      <w:pPr>
        <w:rPr>
          <w:rFonts w:asciiTheme="minorHAnsi" w:hAnsiTheme="minorHAnsi"/>
          <w:b/>
          <w:sz w:val="22"/>
          <w:szCs w:val="22"/>
        </w:rPr>
      </w:pPr>
    </w:p>
    <w:p w14:paraId="0D6D72E5" w14:textId="77777777" w:rsidR="00C4229E" w:rsidRDefault="00C4229E" w:rsidP="009E6A66">
      <w:pPr>
        <w:rPr>
          <w:rFonts w:asciiTheme="minorHAnsi" w:hAnsiTheme="minorHAnsi"/>
          <w:b/>
          <w:sz w:val="22"/>
          <w:szCs w:val="22"/>
        </w:rPr>
      </w:pPr>
    </w:p>
    <w:p w14:paraId="3ADD7BDB" w14:textId="77777777" w:rsidR="00C4229E" w:rsidRDefault="00C4229E" w:rsidP="009E6A66">
      <w:pPr>
        <w:rPr>
          <w:rFonts w:asciiTheme="minorHAnsi" w:hAnsiTheme="minorHAnsi"/>
          <w:b/>
          <w:sz w:val="22"/>
          <w:szCs w:val="22"/>
        </w:rPr>
      </w:pPr>
    </w:p>
    <w:p w14:paraId="5DE55108" w14:textId="77777777" w:rsidR="00C4229E" w:rsidRPr="00333BE4" w:rsidRDefault="00C4229E" w:rsidP="009E6A66">
      <w:pPr>
        <w:rPr>
          <w:rFonts w:asciiTheme="minorHAnsi" w:hAnsiTheme="minorHAnsi"/>
          <w:b/>
          <w:sz w:val="22"/>
          <w:szCs w:val="22"/>
        </w:rPr>
      </w:pPr>
    </w:p>
    <w:p w14:paraId="7226300D" w14:textId="77777777" w:rsidR="009E6A66" w:rsidRPr="00333BE4" w:rsidRDefault="009E6A66" w:rsidP="009E6A66">
      <w:pPr>
        <w:rPr>
          <w:rFonts w:asciiTheme="minorHAnsi" w:hAnsiTheme="minorHAnsi"/>
          <w:b/>
          <w:sz w:val="22"/>
          <w:szCs w:val="22"/>
        </w:rPr>
      </w:pPr>
    </w:p>
    <w:p w14:paraId="29700382" w14:textId="43795811" w:rsidR="009E6A66" w:rsidRPr="00333BE4" w:rsidRDefault="009D709A" w:rsidP="009E6A66">
      <w:pPr>
        <w:rPr>
          <w:rFonts w:asciiTheme="minorHAnsi" w:hAnsiTheme="minorHAnsi" w:cs="Calibri"/>
          <w:b/>
          <w:sz w:val="22"/>
          <w:szCs w:val="22"/>
        </w:rPr>
      </w:pPr>
      <w:r>
        <w:rPr>
          <w:rFonts w:asciiTheme="minorHAnsi" w:hAnsiTheme="minorHAnsi" w:cs="Calibri"/>
          <w:b/>
          <w:sz w:val="22"/>
          <w:szCs w:val="22"/>
        </w:rPr>
        <w:t>Table 1</w:t>
      </w:r>
      <w:r w:rsidR="009E6A66" w:rsidRPr="00333BE4">
        <w:rPr>
          <w:rFonts w:asciiTheme="minorHAnsi" w:hAnsiTheme="minorHAnsi" w:cs="Calibri"/>
          <w:b/>
          <w:sz w:val="22"/>
          <w:szCs w:val="22"/>
        </w:rPr>
        <w:t>: BGU undergraduate applications and enrolments, 2014/1</w:t>
      </w:r>
      <w:r w:rsidR="005C3DE3" w:rsidRPr="00333BE4">
        <w:rPr>
          <w:rFonts w:asciiTheme="minorHAnsi" w:hAnsiTheme="minorHAnsi" w:cs="Calibri"/>
          <w:b/>
          <w:sz w:val="22"/>
          <w:szCs w:val="22"/>
        </w:rPr>
        <w:t>5</w:t>
      </w:r>
    </w:p>
    <w:p w14:paraId="4A9A4876" w14:textId="77777777" w:rsidR="009E6A66" w:rsidRPr="00333BE4" w:rsidRDefault="009E6A66" w:rsidP="009E6A66">
      <w:pPr>
        <w:rPr>
          <w:rFonts w:asciiTheme="minorHAnsi" w:hAnsiTheme="minorHAnsi" w:cs="Calibri"/>
          <w:sz w:val="22"/>
          <w:szCs w:val="22"/>
        </w:rPr>
      </w:pPr>
    </w:p>
    <w:p w14:paraId="3E0E4A6D" w14:textId="5E645714" w:rsidR="009E6A66" w:rsidRDefault="00F4543F" w:rsidP="009E6A66">
      <w:pPr>
        <w:rPr>
          <w:rFonts w:asciiTheme="minorHAnsi" w:hAnsiTheme="minorHAnsi"/>
          <w:b/>
          <w:sz w:val="22"/>
          <w:szCs w:val="22"/>
        </w:rPr>
      </w:pPr>
      <w:r w:rsidRPr="00333BE4">
        <w:rPr>
          <w:rFonts w:asciiTheme="minorHAnsi" w:hAnsiTheme="minorHAnsi"/>
          <w:b/>
          <w:sz w:val="22"/>
          <w:szCs w:val="22"/>
        </w:rPr>
        <w:t>Student enrolments (Figure 1)</w:t>
      </w:r>
    </w:p>
    <w:p w14:paraId="0B8651E4" w14:textId="77777777" w:rsidR="00B84C34" w:rsidRPr="00333BE4" w:rsidRDefault="00B84C34" w:rsidP="009E6A66">
      <w:pPr>
        <w:rPr>
          <w:rFonts w:asciiTheme="minorHAnsi" w:hAnsiTheme="minorHAnsi"/>
          <w:b/>
          <w:sz w:val="22"/>
          <w:szCs w:val="22"/>
        </w:rPr>
      </w:pPr>
    </w:p>
    <w:p w14:paraId="5D8FB8C5" w14:textId="77777777" w:rsidR="00DF52F9" w:rsidRPr="00333BE4" w:rsidRDefault="00DF52F9" w:rsidP="009624DB">
      <w:pPr>
        <w:spacing w:line="276" w:lineRule="auto"/>
        <w:ind w:left="720"/>
        <w:jc w:val="both"/>
        <w:rPr>
          <w:rFonts w:asciiTheme="minorHAnsi" w:hAnsiTheme="minorHAnsi"/>
          <w:sz w:val="22"/>
          <w:szCs w:val="22"/>
        </w:rPr>
      </w:pPr>
      <w:r w:rsidRPr="00333BE4">
        <w:rPr>
          <w:rFonts w:asciiTheme="minorHAnsi" w:hAnsiTheme="minorHAnsi"/>
          <w:sz w:val="22"/>
          <w:szCs w:val="22"/>
        </w:rPr>
        <w:t>The gender balance of the student population</w:t>
      </w:r>
      <w:r w:rsidRPr="00333BE4">
        <w:rPr>
          <w:rFonts w:asciiTheme="minorHAnsi" w:hAnsiTheme="minorHAnsi"/>
          <w:b/>
          <w:sz w:val="22"/>
          <w:szCs w:val="22"/>
        </w:rPr>
        <w:t xml:space="preserve"> </w:t>
      </w:r>
      <w:r w:rsidRPr="00333BE4">
        <w:rPr>
          <w:rFonts w:asciiTheme="minorHAnsi" w:hAnsiTheme="minorHAnsi"/>
          <w:sz w:val="22"/>
          <w:szCs w:val="22"/>
        </w:rPr>
        <w:t>has remained steady over the last four years at around 5:1 female to male students.  The high ratio of females to males reflects the portfolio of subjects on offer at BGU and is in line with the ratio on first degree comparable subjects across the UK</w:t>
      </w:r>
      <w:r w:rsidRPr="00333BE4">
        <w:rPr>
          <w:rStyle w:val="FootnoteReference"/>
          <w:rFonts w:asciiTheme="minorHAnsi" w:hAnsiTheme="minorHAnsi"/>
          <w:sz w:val="22"/>
          <w:szCs w:val="22"/>
        </w:rPr>
        <w:footnoteReference w:id="1"/>
      </w:r>
      <w:r w:rsidRPr="00333BE4">
        <w:rPr>
          <w:rFonts w:asciiTheme="minorHAnsi" w:hAnsiTheme="minorHAnsi"/>
          <w:sz w:val="22"/>
          <w:szCs w:val="22"/>
        </w:rPr>
        <w:t>.</w:t>
      </w:r>
    </w:p>
    <w:p w14:paraId="6DB0339E" w14:textId="77777777" w:rsidR="00DF52F9" w:rsidRPr="00333BE4" w:rsidRDefault="00DF52F9" w:rsidP="00DF52F9">
      <w:pPr>
        <w:spacing w:line="276" w:lineRule="auto"/>
        <w:jc w:val="both"/>
        <w:rPr>
          <w:rFonts w:asciiTheme="minorHAnsi" w:hAnsiTheme="minorHAnsi"/>
          <w:sz w:val="22"/>
          <w:szCs w:val="22"/>
        </w:rPr>
      </w:pPr>
    </w:p>
    <w:p w14:paraId="1BB93906" w14:textId="28B8EB12" w:rsidR="00DF52F9" w:rsidRPr="00333BE4" w:rsidRDefault="00DF52F9" w:rsidP="009624DB">
      <w:pPr>
        <w:spacing w:line="276" w:lineRule="auto"/>
        <w:ind w:left="720"/>
        <w:jc w:val="both"/>
        <w:rPr>
          <w:rFonts w:asciiTheme="minorHAnsi" w:hAnsiTheme="minorHAnsi"/>
          <w:sz w:val="22"/>
          <w:szCs w:val="22"/>
        </w:rPr>
      </w:pPr>
      <w:r w:rsidRPr="00333BE4">
        <w:rPr>
          <w:rFonts w:asciiTheme="minorHAnsi" w:hAnsiTheme="minorHAnsi"/>
          <w:sz w:val="22"/>
          <w:szCs w:val="22"/>
        </w:rPr>
        <w:t>The proportion of students identifying themselves as Black or Minority Ethnic (BME) remains steady</w:t>
      </w:r>
      <w:r w:rsidR="00D977DE" w:rsidRPr="00333BE4">
        <w:rPr>
          <w:rFonts w:asciiTheme="minorHAnsi" w:hAnsiTheme="minorHAnsi"/>
          <w:sz w:val="22"/>
          <w:szCs w:val="22"/>
        </w:rPr>
        <w:t xml:space="preserve"> at around 3 per cent in 2014/15</w:t>
      </w:r>
      <w:r w:rsidRPr="00333BE4">
        <w:rPr>
          <w:rFonts w:asciiTheme="minorHAnsi" w:hAnsiTheme="minorHAnsi"/>
          <w:sz w:val="22"/>
          <w:szCs w:val="22"/>
        </w:rPr>
        <w:t xml:space="preserve"> and</w:t>
      </w:r>
      <w:r w:rsidR="00E75F0D" w:rsidRPr="00333BE4">
        <w:rPr>
          <w:rFonts w:asciiTheme="minorHAnsi" w:hAnsiTheme="minorHAnsi"/>
          <w:sz w:val="22"/>
          <w:szCs w:val="22"/>
        </w:rPr>
        <w:t xml:space="preserve"> is</w:t>
      </w:r>
      <w:r w:rsidRPr="00333BE4">
        <w:rPr>
          <w:rFonts w:asciiTheme="minorHAnsi" w:hAnsiTheme="minorHAnsi"/>
          <w:sz w:val="22"/>
          <w:szCs w:val="22"/>
        </w:rPr>
        <w:t xml:space="preserve"> in line with the local population from which BGU recruits</w:t>
      </w:r>
      <w:r w:rsidRPr="00333BE4">
        <w:rPr>
          <w:rStyle w:val="FootnoteReference"/>
          <w:rFonts w:asciiTheme="minorHAnsi" w:hAnsiTheme="minorHAnsi" w:cs="Calibri"/>
          <w:i/>
          <w:sz w:val="22"/>
          <w:szCs w:val="22"/>
        </w:rPr>
        <w:footnoteReference w:id="2"/>
      </w:r>
      <w:r w:rsidRPr="00333BE4">
        <w:rPr>
          <w:rFonts w:asciiTheme="minorHAnsi" w:hAnsiTheme="minorHAnsi"/>
          <w:sz w:val="22"/>
          <w:szCs w:val="22"/>
        </w:rPr>
        <w:t>.</w:t>
      </w:r>
    </w:p>
    <w:p w14:paraId="2BCD61FD" w14:textId="77777777" w:rsidR="00DF52F9" w:rsidRPr="00333BE4" w:rsidRDefault="00DF52F9" w:rsidP="009624DB">
      <w:pPr>
        <w:spacing w:line="276" w:lineRule="auto"/>
        <w:ind w:left="720"/>
        <w:jc w:val="both"/>
        <w:rPr>
          <w:rFonts w:asciiTheme="minorHAnsi" w:hAnsiTheme="minorHAnsi"/>
          <w:sz w:val="22"/>
          <w:szCs w:val="22"/>
        </w:rPr>
      </w:pPr>
    </w:p>
    <w:p w14:paraId="0134F357" w14:textId="2DA93186" w:rsidR="00DF52F9" w:rsidRPr="00333BE4" w:rsidRDefault="00DF52F9" w:rsidP="009624DB">
      <w:pPr>
        <w:spacing w:line="276" w:lineRule="auto"/>
        <w:ind w:left="720"/>
        <w:jc w:val="both"/>
        <w:rPr>
          <w:rFonts w:asciiTheme="minorHAnsi" w:hAnsiTheme="minorHAnsi"/>
          <w:sz w:val="22"/>
          <w:szCs w:val="22"/>
        </w:rPr>
      </w:pPr>
      <w:r w:rsidRPr="00333BE4">
        <w:rPr>
          <w:rFonts w:asciiTheme="minorHAnsi" w:hAnsiTheme="minorHAnsi"/>
          <w:sz w:val="22"/>
          <w:szCs w:val="22"/>
        </w:rPr>
        <w:t>The proportion of students recorded as having a specific learning disability has steadily i</w:t>
      </w:r>
      <w:r w:rsidR="00D977DE" w:rsidRPr="00333BE4">
        <w:rPr>
          <w:rFonts w:asciiTheme="minorHAnsi" w:hAnsiTheme="minorHAnsi"/>
          <w:sz w:val="22"/>
          <w:szCs w:val="22"/>
        </w:rPr>
        <w:t>ncreased since 2010/11, from 4 per cent to 9 per cent in 2014</w:t>
      </w:r>
      <w:r w:rsidRPr="00333BE4">
        <w:rPr>
          <w:rFonts w:asciiTheme="minorHAnsi" w:hAnsiTheme="minorHAnsi"/>
          <w:sz w:val="22"/>
          <w:szCs w:val="22"/>
        </w:rPr>
        <w:t>/1</w:t>
      </w:r>
      <w:r w:rsidR="00D977DE" w:rsidRPr="00333BE4">
        <w:rPr>
          <w:rFonts w:asciiTheme="minorHAnsi" w:hAnsiTheme="minorHAnsi"/>
          <w:sz w:val="22"/>
          <w:szCs w:val="22"/>
        </w:rPr>
        <w:t>5</w:t>
      </w:r>
      <w:r w:rsidRPr="00333BE4">
        <w:rPr>
          <w:rFonts w:asciiTheme="minorHAnsi" w:hAnsiTheme="minorHAnsi"/>
          <w:sz w:val="22"/>
          <w:szCs w:val="22"/>
        </w:rPr>
        <w:t>. The proportion of students with a disability other than a learning disability has also increased over the same p</w:t>
      </w:r>
      <w:r w:rsidR="00D977DE" w:rsidRPr="00333BE4">
        <w:rPr>
          <w:rFonts w:asciiTheme="minorHAnsi" w:hAnsiTheme="minorHAnsi"/>
          <w:sz w:val="22"/>
          <w:szCs w:val="22"/>
        </w:rPr>
        <w:t>eriod, but at a slower rate (7% in 2010/11 to 9</w:t>
      </w:r>
      <w:r w:rsidR="00E75F0D" w:rsidRPr="00333BE4">
        <w:rPr>
          <w:rFonts w:asciiTheme="minorHAnsi" w:hAnsiTheme="minorHAnsi"/>
          <w:sz w:val="22"/>
          <w:szCs w:val="22"/>
        </w:rPr>
        <w:t>% in 2014/15</w:t>
      </w:r>
      <w:r w:rsidRPr="00333BE4">
        <w:rPr>
          <w:rFonts w:asciiTheme="minorHAnsi" w:hAnsiTheme="minorHAnsi"/>
          <w:sz w:val="22"/>
          <w:szCs w:val="22"/>
        </w:rPr>
        <w:t>), and is broadly in line with the proportion  of working age Lincolnshire population who consider their day to day activities limited (8.7%)</w:t>
      </w:r>
      <w:r w:rsidRPr="00333BE4">
        <w:rPr>
          <w:rStyle w:val="FootnoteReference"/>
          <w:rFonts w:asciiTheme="minorHAnsi" w:hAnsiTheme="minorHAnsi"/>
          <w:sz w:val="22"/>
          <w:szCs w:val="22"/>
        </w:rPr>
        <w:footnoteReference w:id="3"/>
      </w:r>
      <w:r w:rsidRPr="00333BE4">
        <w:rPr>
          <w:rFonts w:asciiTheme="minorHAnsi" w:hAnsiTheme="minorHAnsi"/>
          <w:sz w:val="22"/>
          <w:szCs w:val="22"/>
        </w:rPr>
        <w:t>.</w:t>
      </w:r>
    </w:p>
    <w:p w14:paraId="67680E92" w14:textId="77777777" w:rsidR="00DF52F9" w:rsidRPr="00333BE4" w:rsidRDefault="00DF52F9" w:rsidP="00DF52F9">
      <w:pPr>
        <w:spacing w:line="276" w:lineRule="auto"/>
        <w:jc w:val="both"/>
        <w:rPr>
          <w:rFonts w:asciiTheme="minorHAnsi" w:hAnsiTheme="minorHAnsi"/>
          <w:sz w:val="22"/>
          <w:szCs w:val="22"/>
        </w:rPr>
      </w:pPr>
    </w:p>
    <w:p w14:paraId="1E03D933" w14:textId="14A06BA0" w:rsidR="00DF52F9" w:rsidRPr="00333BE4" w:rsidRDefault="00DF52F9" w:rsidP="009624DB">
      <w:pPr>
        <w:spacing w:line="276" w:lineRule="auto"/>
        <w:ind w:left="720"/>
        <w:jc w:val="both"/>
        <w:rPr>
          <w:rFonts w:asciiTheme="minorHAnsi" w:hAnsiTheme="minorHAnsi"/>
          <w:sz w:val="22"/>
          <w:szCs w:val="22"/>
        </w:rPr>
      </w:pPr>
      <w:r w:rsidRPr="00333BE4">
        <w:rPr>
          <w:rFonts w:asciiTheme="minorHAnsi" w:hAnsiTheme="minorHAnsi"/>
          <w:sz w:val="22"/>
          <w:szCs w:val="22"/>
        </w:rPr>
        <w:t>The proportion of mature students</w:t>
      </w:r>
      <w:r w:rsidR="00E75F0D" w:rsidRPr="00333BE4">
        <w:rPr>
          <w:rFonts w:asciiTheme="minorHAnsi" w:hAnsiTheme="minorHAnsi"/>
          <w:sz w:val="22"/>
          <w:szCs w:val="22"/>
        </w:rPr>
        <w:t xml:space="preserve"> in the student population (36% in 2014/15</w:t>
      </w:r>
      <w:r w:rsidRPr="00333BE4">
        <w:rPr>
          <w:rFonts w:asciiTheme="minorHAnsi" w:hAnsiTheme="minorHAnsi"/>
          <w:sz w:val="22"/>
          <w:szCs w:val="22"/>
        </w:rPr>
        <w:t>) has been in steady decline since 2010/11 (48.3%), in line with national trends.</w:t>
      </w:r>
    </w:p>
    <w:p w14:paraId="7923834A" w14:textId="77777777" w:rsidR="00DF52F9" w:rsidRPr="00333BE4" w:rsidRDefault="00DF52F9" w:rsidP="009E6A66">
      <w:pPr>
        <w:rPr>
          <w:rFonts w:asciiTheme="minorHAnsi" w:hAnsiTheme="minorHAnsi"/>
          <w:b/>
          <w:sz w:val="22"/>
          <w:szCs w:val="22"/>
        </w:rPr>
      </w:pPr>
    </w:p>
    <w:p w14:paraId="67ABBFC2" w14:textId="77777777" w:rsidR="00F4543F" w:rsidRPr="00333BE4" w:rsidRDefault="00F4543F" w:rsidP="009E6A66">
      <w:pPr>
        <w:rPr>
          <w:rFonts w:asciiTheme="minorHAnsi" w:hAnsiTheme="minorHAnsi"/>
          <w:b/>
          <w:sz w:val="22"/>
          <w:szCs w:val="22"/>
        </w:rPr>
      </w:pPr>
    </w:p>
    <w:p w14:paraId="132A96D4" w14:textId="77777777" w:rsidR="00B84C34" w:rsidRDefault="00B84C34" w:rsidP="00F4543F">
      <w:pPr>
        <w:spacing w:line="276" w:lineRule="auto"/>
        <w:rPr>
          <w:rFonts w:asciiTheme="minorHAnsi" w:hAnsiTheme="minorHAnsi"/>
          <w:b/>
          <w:sz w:val="22"/>
          <w:szCs w:val="22"/>
        </w:rPr>
      </w:pPr>
    </w:p>
    <w:p w14:paraId="41627CE4" w14:textId="77777777" w:rsidR="00C4229E" w:rsidRDefault="00C4229E" w:rsidP="00F4543F">
      <w:pPr>
        <w:spacing w:line="276" w:lineRule="auto"/>
        <w:rPr>
          <w:rFonts w:asciiTheme="minorHAnsi" w:hAnsiTheme="minorHAnsi"/>
          <w:b/>
          <w:sz w:val="22"/>
          <w:szCs w:val="22"/>
        </w:rPr>
      </w:pPr>
    </w:p>
    <w:p w14:paraId="674E500A" w14:textId="77777777" w:rsidR="00F4543F" w:rsidRPr="00333BE4" w:rsidRDefault="00F4543F" w:rsidP="00F4543F">
      <w:pPr>
        <w:spacing w:line="276" w:lineRule="auto"/>
        <w:rPr>
          <w:rFonts w:asciiTheme="minorHAnsi" w:hAnsiTheme="minorHAnsi"/>
          <w:sz w:val="22"/>
          <w:szCs w:val="22"/>
        </w:rPr>
      </w:pPr>
      <w:r w:rsidRPr="00333BE4">
        <w:rPr>
          <w:rFonts w:asciiTheme="minorHAnsi" w:hAnsiTheme="minorHAnsi"/>
          <w:b/>
          <w:sz w:val="22"/>
          <w:szCs w:val="22"/>
        </w:rPr>
        <w:t>Figure 1: All enrolled students 2010/11 to 2014/15 by gender, ethnicity, disability and age</w:t>
      </w:r>
    </w:p>
    <w:p w14:paraId="42E85D41" w14:textId="5FC6ABB8" w:rsidR="00F4543F" w:rsidRPr="00333BE4" w:rsidRDefault="00E65578" w:rsidP="00E65578">
      <w:pPr>
        <w:rPr>
          <w:rFonts w:asciiTheme="minorHAnsi" w:hAnsiTheme="minorHAnsi"/>
          <w:b/>
          <w:sz w:val="22"/>
          <w:szCs w:val="22"/>
        </w:rPr>
      </w:pPr>
      <w:r w:rsidRPr="00333BE4">
        <w:rPr>
          <w:rFonts w:asciiTheme="minorHAnsi" w:hAnsiTheme="minorHAnsi"/>
          <w:b/>
          <w:noProof/>
          <w:sz w:val="22"/>
          <w:szCs w:val="22"/>
        </w:rPr>
        <w:drawing>
          <wp:inline distT="0" distB="0" distL="0" distR="0" wp14:anchorId="58DAA507" wp14:editId="7E36D550">
            <wp:extent cx="6290525" cy="3952875"/>
            <wp:effectExtent l="19050" t="19050" r="152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92136" cy="3953887"/>
                    </a:xfrm>
                    <a:prstGeom prst="rect">
                      <a:avLst/>
                    </a:prstGeom>
                    <a:noFill/>
                    <a:ln>
                      <a:solidFill>
                        <a:schemeClr val="tx1"/>
                      </a:solidFill>
                    </a:ln>
                  </pic:spPr>
                </pic:pic>
              </a:graphicData>
            </a:graphic>
          </wp:inline>
        </w:drawing>
      </w:r>
    </w:p>
    <w:p w14:paraId="6DAAB6C3" w14:textId="77777777" w:rsidR="009E6A66" w:rsidRPr="00333BE4" w:rsidRDefault="009E6A66" w:rsidP="003A6B0F">
      <w:pPr>
        <w:rPr>
          <w:rFonts w:asciiTheme="minorHAnsi" w:hAnsiTheme="minorHAnsi"/>
          <w:sz w:val="22"/>
          <w:szCs w:val="22"/>
        </w:rPr>
      </w:pPr>
    </w:p>
    <w:p w14:paraId="17704486" w14:textId="77777777" w:rsidR="000E24DC" w:rsidRPr="00333BE4" w:rsidRDefault="000E24DC" w:rsidP="003A6B0F">
      <w:pPr>
        <w:rPr>
          <w:rFonts w:asciiTheme="minorHAnsi" w:hAnsiTheme="minorHAnsi"/>
          <w:sz w:val="22"/>
          <w:szCs w:val="22"/>
          <w:u w:val="single"/>
        </w:rPr>
      </w:pPr>
    </w:p>
    <w:p w14:paraId="17704487" w14:textId="77777777" w:rsidR="000E24DC" w:rsidRPr="00333BE4" w:rsidRDefault="000E24DC" w:rsidP="003A6B0F">
      <w:pPr>
        <w:rPr>
          <w:rFonts w:asciiTheme="minorHAnsi" w:hAnsiTheme="minorHAnsi"/>
          <w:sz w:val="22"/>
          <w:szCs w:val="22"/>
          <w:u w:val="single"/>
        </w:rPr>
      </w:pPr>
    </w:p>
    <w:p w14:paraId="17704488" w14:textId="5DE92BA1" w:rsidR="00D868EB" w:rsidRDefault="00A320B8" w:rsidP="003A6B0F">
      <w:pPr>
        <w:rPr>
          <w:rFonts w:asciiTheme="minorHAnsi" w:hAnsiTheme="minorHAnsi"/>
          <w:b/>
          <w:sz w:val="22"/>
          <w:szCs w:val="22"/>
        </w:rPr>
      </w:pPr>
      <w:r w:rsidRPr="00333BE4">
        <w:rPr>
          <w:rFonts w:asciiTheme="minorHAnsi" w:hAnsiTheme="minorHAnsi"/>
          <w:b/>
          <w:sz w:val="22"/>
          <w:szCs w:val="22"/>
        </w:rPr>
        <w:t>Student retention and progression (Figure 2)</w:t>
      </w:r>
    </w:p>
    <w:p w14:paraId="3B0040AA" w14:textId="77777777" w:rsidR="00B84C34" w:rsidRPr="00333BE4" w:rsidRDefault="00B84C34" w:rsidP="003A6B0F">
      <w:pPr>
        <w:rPr>
          <w:rFonts w:asciiTheme="minorHAnsi" w:hAnsiTheme="minorHAnsi"/>
          <w:b/>
          <w:sz w:val="22"/>
          <w:szCs w:val="22"/>
        </w:rPr>
      </w:pPr>
    </w:p>
    <w:p w14:paraId="51B42CCB" w14:textId="2AC32286" w:rsidR="00171CD7" w:rsidRPr="00333BE4" w:rsidRDefault="009624DB" w:rsidP="009624DB">
      <w:pPr>
        <w:spacing w:after="200" w:line="276" w:lineRule="auto"/>
        <w:ind w:left="720"/>
        <w:jc w:val="both"/>
        <w:rPr>
          <w:rFonts w:asciiTheme="minorHAnsi" w:hAnsiTheme="minorHAnsi"/>
          <w:sz w:val="22"/>
          <w:szCs w:val="22"/>
        </w:rPr>
      </w:pPr>
      <w:r>
        <w:rPr>
          <w:rFonts w:asciiTheme="minorHAnsi" w:hAnsiTheme="minorHAnsi"/>
          <w:sz w:val="22"/>
          <w:szCs w:val="22"/>
        </w:rPr>
        <w:t>90 %</w:t>
      </w:r>
      <w:r w:rsidR="00171CD7" w:rsidRPr="00333BE4">
        <w:rPr>
          <w:rFonts w:asciiTheme="minorHAnsi" w:hAnsiTheme="minorHAnsi"/>
          <w:sz w:val="22"/>
          <w:szCs w:val="22"/>
        </w:rPr>
        <w:t xml:space="preserve"> of males at undergraduate level were retained compared with 94</w:t>
      </w:r>
      <w:r>
        <w:rPr>
          <w:rFonts w:asciiTheme="minorHAnsi" w:hAnsiTheme="minorHAnsi"/>
          <w:sz w:val="22"/>
          <w:szCs w:val="22"/>
        </w:rPr>
        <w:t>%</w:t>
      </w:r>
      <w:r w:rsidR="00171CD7" w:rsidRPr="00333BE4">
        <w:rPr>
          <w:rFonts w:asciiTheme="minorHAnsi" w:hAnsiTheme="minorHAnsi"/>
          <w:sz w:val="22"/>
          <w:szCs w:val="22"/>
        </w:rPr>
        <w:t xml:space="preserve"> of females.  Males had higher rates of referral and slightly higher rates of withdrawal and deferral/intercalation. </w:t>
      </w:r>
      <w:r w:rsidR="00171CD7" w:rsidRPr="00333BE4">
        <w:rPr>
          <w:rFonts w:asciiTheme="minorHAnsi" w:hAnsiTheme="minorHAnsi"/>
          <w:sz w:val="22"/>
          <w:szCs w:val="22"/>
        </w:rPr>
        <w:lastRenderedPageBreak/>
        <w:t>Sector wide statistics show that a lower proportion of male entrants continued or qualified in 2013/14 than female entrants (89.7% and 91.8% respectively).</w:t>
      </w:r>
      <w:r w:rsidR="00171CD7" w:rsidRPr="00333BE4">
        <w:rPr>
          <w:rFonts w:asciiTheme="minorHAnsi" w:hAnsiTheme="minorHAnsi"/>
          <w:sz w:val="22"/>
          <w:szCs w:val="22"/>
          <w:vertAlign w:val="superscript"/>
        </w:rPr>
        <w:footnoteReference w:id="4"/>
      </w:r>
    </w:p>
    <w:p w14:paraId="6442B237" w14:textId="77777777" w:rsidR="00171CD7" w:rsidRPr="00333BE4" w:rsidRDefault="00171CD7" w:rsidP="009624DB">
      <w:pPr>
        <w:spacing w:after="200" w:line="276" w:lineRule="auto"/>
        <w:ind w:left="720"/>
        <w:jc w:val="both"/>
        <w:rPr>
          <w:rFonts w:asciiTheme="minorHAnsi" w:hAnsiTheme="minorHAnsi"/>
          <w:sz w:val="22"/>
          <w:szCs w:val="22"/>
        </w:rPr>
      </w:pPr>
      <w:r w:rsidRPr="00333BE4">
        <w:rPr>
          <w:rFonts w:asciiTheme="minorHAnsi" w:hAnsiTheme="minorHAnsi"/>
          <w:sz w:val="22"/>
          <w:szCs w:val="22"/>
        </w:rPr>
        <w:t xml:space="preserve">There was no difference in retention rates for undergraduate mature students compared with undergraduate students aged under 21. However, mature students had slightly lower rates of progression as higher proportions had deferred or intercalated. </w:t>
      </w:r>
    </w:p>
    <w:p w14:paraId="6DBBD54C" w14:textId="64D7CFDF" w:rsidR="00171CD7" w:rsidRPr="00333BE4" w:rsidRDefault="00171CD7" w:rsidP="009624DB">
      <w:pPr>
        <w:spacing w:after="200" w:line="276" w:lineRule="auto"/>
        <w:ind w:left="720"/>
        <w:jc w:val="both"/>
        <w:rPr>
          <w:rFonts w:asciiTheme="minorHAnsi" w:hAnsiTheme="minorHAnsi"/>
          <w:sz w:val="22"/>
          <w:szCs w:val="22"/>
        </w:rPr>
      </w:pPr>
      <w:r w:rsidRPr="00333BE4">
        <w:rPr>
          <w:rFonts w:asciiTheme="minorHAnsi" w:hAnsiTheme="minorHAnsi"/>
          <w:sz w:val="22"/>
          <w:szCs w:val="22"/>
        </w:rPr>
        <w:t>Sector wide statistics show the proportions of entrants continuing or qualifying were lower among mature students than for entrants aged under 21.</w:t>
      </w:r>
      <w:r w:rsidR="00DC3831" w:rsidRPr="00333BE4">
        <w:rPr>
          <w:rFonts w:asciiTheme="minorHAnsi" w:hAnsiTheme="minorHAnsi"/>
          <w:sz w:val="22"/>
          <w:szCs w:val="22"/>
          <w:vertAlign w:val="superscript"/>
        </w:rPr>
        <w:t>4</w:t>
      </w:r>
    </w:p>
    <w:p w14:paraId="4F999E52" w14:textId="5B16BA3D" w:rsidR="00171CD7" w:rsidRPr="00333BE4" w:rsidRDefault="00171CD7" w:rsidP="009624DB">
      <w:pPr>
        <w:spacing w:after="200" w:line="276" w:lineRule="auto"/>
        <w:ind w:left="720"/>
        <w:jc w:val="both"/>
        <w:rPr>
          <w:rFonts w:asciiTheme="minorHAnsi" w:hAnsiTheme="minorHAnsi"/>
          <w:sz w:val="22"/>
          <w:szCs w:val="22"/>
        </w:rPr>
      </w:pPr>
      <w:r w:rsidRPr="00333BE4">
        <w:rPr>
          <w:rFonts w:asciiTheme="minorHAnsi" w:hAnsiTheme="minorHAnsi"/>
          <w:sz w:val="22"/>
          <w:szCs w:val="22"/>
        </w:rPr>
        <w:t>There was no difference in retention or progression rates between White and Minority Ethnic students.</w:t>
      </w:r>
    </w:p>
    <w:p w14:paraId="535BA188" w14:textId="0F17BC30" w:rsidR="00171CD7" w:rsidRPr="00333BE4" w:rsidRDefault="00171CD7" w:rsidP="009624DB">
      <w:pPr>
        <w:spacing w:after="200" w:line="276" w:lineRule="auto"/>
        <w:ind w:left="720"/>
        <w:jc w:val="both"/>
        <w:rPr>
          <w:rFonts w:asciiTheme="minorHAnsi" w:hAnsiTheme="minorHAnsi"/>
          <w:sz w:val="22"/>
          <w:szCs w:val="22"/>
        </w:rPr>
      </w:pPr>
      <w:r w:rsidRPr="00333BE4">
        <w:rPr>
          <w:rFonts w:asciiTheme="minorHAnsi" w:hAnsiTheme="minorHAnsi"/>
          <w:sz w:val="22"/>
          <w:szCs w:val="22"/>
        </w:rPr>
        <w:t>Sector wide statistics show that overall, a higher proportion of white entrants continued or qualified (91.8%) than BME students (87.9%). However, continuation/qualification rates varied considerably by ethnic group, ranging from 93.8% for Chinese entrant</w:t>
      </w:r>
      <w:r w:rsidR="009D709A">
        <w:rPr>
          <w:rFonts w:asciiTheme="minorHAnsi" w:hAnsiTheme="minorHAnsi"/>
          <w:sz w:val="22"/>
          <w:szCs w:val="22"/>
        </w:rPr>
        <w:t xml:space="preserve">s to 82.7% for entrants from an </w:t>
      </w:r>
      <w:r w:rsidRPr="00333BE4">
        <w:rPr>
          <w:rFonts w:asciiTheme="minorHAnsi" w:hAnsiTheme="minorHAnsi"/>
          <w:sz w:val="22"/>
          <w:szCs w:val="22"/>
        </w:rPr>
        <w:t>other black background (an 11.1 percentage point difference).</w:t>
      </w:r>
      <w:r w:rsidRPr="00333BE4">
        <w:rPr>
          <w:rFonts w:asciiTheme="minorHAnsi" w:hAnsiTheme="minorHAnsi"/>
          <w:sz w:val="22"/>
          <w:szCs w:val="22"/>
          <w:vertAlign w:val="superscript"/>
        </w:rPr>
        <w:t>4</w:t>
      </w:r>
    </w:p>
    <w:p w14:paraId="1B2C6C68" w14:textId="77777777" w:rsidR="00171CD7" w:rsidRPr="00333BE4" w:rsidRDefault="00171CD7" w:rsidP="009624DB">
      <w:pPr>
        <w:spacing w:after="200" w:line="276" w:lineRule="auto"/>
        <w:ind w:left="720"/>
        <w:jc w:val="both"/>
        <w:rPr>
          <w:rFonts w:asciiTheme="minorHAnsi" w:hAnsiTheme="minorHAnsi"/>
          <w:sz w:val="22"/>
          <w:szCs w:val="22"/>
        </w:rPr>
      </w:pPr>
      <w:r w:rsidRPr="00333BE4">
        <w:rPr>
          <w:rFonts w:asciiTheme="minorHAnsi" w:hAnsiTheme="minorHAnsi"/>
          <w:sz w:val="22"/>
          <w:szCs w:val="22"/>
        </w:rPr>
        <w:t>Although there was little difference in retention rates for disabled students compared with other students, a smaller proportion progressed or graduated to the next level of study (90% compared with 94% of students without a disability). Sector wide statistics show that a lower proportion of UK domiciled first degree disabled entrants continued to 2013/14 or qualified (89.6%) than non-disabled entrants (91.0%)</w:t>
      </w:r>
      <w:r w:rsidRPr="00333BE4">
        <w:rPr>
          <w:rFonts w:asciiTheme="minorHAnsi" w:hAnsiTheme="minorHAnsi"/>
          <w:sz w:val="22"/>
          <w:szCs w:val="22"/>
          <w:vertAlign w:val="superscript"/>
        </w:rPr>
        <w:footnoteReference w:id="5"/>
      </w:r>
      <w:r w:rsidRPr="00333BE4">
        <w:rPr>
          <w:rFonts w:asciiTheme="minorHAnsi" w:hAnsiTheme="minorHAnsi"/>
          <w:sz w:val="22"/>
          <w:szCs w:val="22"/>
        </w:rPr>
        <w:t>.</w:t>
      </w:r>
    </w:p>
    <w:p w14:paraId="553B9CEC" w14:textId="77777777" w:rsidR="00A320B8" w:rsidRPr="00333BE4" w:rsidRDefault="00A320B8" w:rsidP="003A6B0F">
      <w:pPr>
        <w:rPr>
          <w:rFonts w:asciiTheme="minorHAnsi" w:hAnsiTheme="minorHAnsi"/>
          <w:b/>
          <w:sz w:val="22"/>
          <w:szCs w:val="22"/>
        </w:rPr>
      </w:pPr>
    </w:p>
    <w:p w14:paraId="0D3CAA3A" w14:textId="77777777" w:rsidR="009E7BA1" w:rsidRPr="00333BE4" w:rsidRDefault="009E7BA1" w:rsidP="009E7BA1">
      <w:pPr>
        <w:spacing w:line="276" w:lineRule="auto"/>
        <w:rPr>
          <w:rFonts w:asciiTheme="minorHAnsi" w:hAnsiTheme="minorHAnsi"/>
          <w:b/>
          <w:sz w:val="22"/>
          <w:szCs w:val="22"/>
        </w:rPr>
      </w:pPr>
      <w:r w:rsidRPr="00333BE4">
        <w:rPr>
          <w:rFonts w:asciiTheme="minorHAnsi" w:hAnsiTheme="minorHAnsi"/>
          <w:b/>
          <w:sz w:val="22"/>
          <w:szCs w:val="22"/>
        </w:rPr>
        <w:t>Figure 2:</w:t>
      </w:r>
      <w:r w:rsidRPr="00333BE4">
        <w:rPr>
          <w:rFonts w:asciiTheme="minorHAnsi" w:hAnsiTheme="minorHAnsi"/>
          <w:sz w:val="22"/>
          <w:szCs w:val="22"/>
        </w:rPr>
        <w:t xml:space="preserve"> </w:t>
      </w:r>
      <w:r w:rsidRPr="00333BE4">
        <w:rPr>
          <w:rFonts w:asciiTheme="minorHAnsi" w:hAnsiTheme="minorHAnsi"/>
          <w:b/>
          <w:sz w:val="22"/>
          <w:szCs w:val="22"/>
        </w:rPr>
        <w:t>Undergraduate progression 2013/14 by characteristic</w:t>
      </w:r>
    </w:p>
    <w:p w14:paraId="6AFFF6FA" w14:textId="0F6D475A" w:rsidR="00A320B8" w:rsidRPr="00333BE4" w:rsidRDefault="00D03DB8" w:rsidP="003A6B0F">
      <w:pPr>
        <w:rPr>
          <w:rFonts w:asciiTheme="minorHAnsi" w:hAnsiTheme="minorHAnsi"/>
          <w:b/>
          <w:sz w:val="22"/>
          <w:szCs w:val="22"/>
        </w:rPr>
      </w:pPr>
      <w:r w:rsidRPr="00333BE4">
        <w:rPr>
          <w:rFonts w:asciiTheme="minorHAnsi" w:hAnsiTheme="minorHAnsi"/>
          <w:noProof/>
          <w:sz w:val="22"/>
          <w:szCs w:val="22"/>
        </w:rPr>
        <w:lastRenderedPageBreak/>
        <w:drawing>
          <wp:inline distT="0" distB="0" distL="0" distR="0" wp14:anchorId="6E56FE17" wp14:editId="6D3394A2">
            <wp:extent cx="5895975" cy="4264103"/>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98511" cy="4265937"/>
                    </a:xfrm>
                    <a:prstGeom prst="rect">
                      <a:avLst/>
                    </a:prstGeom>
                    <a:noFill/>
                  </pic:spPr>
                </pic:pic>
              </a:graphicData>
            </a:graphic>
          </wp:inline>
        </w:drawing>
      </w:r>
    </w:p>
    <w:p w14:paraId="17704489" w14:textId="77777777" w:rsidR="00D868EB" w:rsidRPr="00333BE4" w:rsidRDefault="00D868EB" w:rsidP="003A6B0F">
      <w:pPr>
        <w:rPr>
          <w:rFonts w:asciiTheme="minorHAnsi" w:hAnsiTheme="minorHAnsi"/>
          <w:sz w:val="22"/>
          <w:szCs w:val="22"/>
          <w:u w:val="single"/>
        </w:rPr>
      </w:pPr>
    </w:p>
    <w:p w14:paraId="1770448A" w14:textId="77777777" w:rsidR="00D868EB" w:rsidRPr="00333BE4" w:rsidRDefault="00D868EB" w:rsidP="003A6B0F">
      <w:pPr>
        <w:rPr>
          <w:rFonts w:asciiTheme="minorHAnsi" w:hAnsiTheme="minorHAnsi"/>
          <w:sz w:val="22"/>
          <w:szCs w:val="22"/>
          <w:u w:val="single"/>
        </w:rPr>
      </w:pPr>
    </w:p>
    <w:p w14:paraId="1770448B" w14:textId="77777777" w:rsidR="00D868EB" w:rsidRPr="00333BE4" w:rsidRDefault="00D868EB" w:rsidP="003A6B0F">
      <w:pPr>
        <w:rPr>
          <w:rFonts w:asciiTheme="minorHAnsi" w:hAnsiTheme="minorHAnsi"/>
          <w:sz w:val="22"/>
          <w:szCs w:val="22"/>
          <w:u w:val="single"/>
        </w:rPr>
      </w:pPr>
    </w:p>
    <w:p w14:paraId="2BB16816" w14:textId="603352F6" w:rsidR="009E7BA1" w:rsidRDefault="009E7BA1" w:rsidP="003A6B0F">
      <w:pPr>
        <w:rPr>
          <w:rFonts w:asciiTheme="minorHAnsi" w:hAnsiTheme="minorHAnsi"/>
          <w:b/>
          <w:sz w:val="22"/>
          <w:szCs w:val="22"/>
        </w:rPr>
      </w:pPr>
      <w:r w:rsidRPr="00333BE4">
        <w:rPr>
          <w:rFonts w:asciiTheme="minorHAnsi" w:hAnsiTheme="minorHAnsi"/>
          <w:b/>
          <w:sz w:val="22"/>
          <w:szCs w:val="22"/>
        </w:rPr>
        <w:t>Student attainment</w:t>
      </w:r>
    </w:p>
    <w:p w14:paraId="13BD9360" w14:textId="77777777" w:rsidR="00B84C34" w:rsidRPr="00333BE4" w:rsidRDefault="00B84C34" w:rsidP="003A6B0F">
      <w:pPr>
        <w:rPr>
          <w:rFonts w:asciiTheme="minorHAnsi" w:hAnsiTheme="minorHAnsi"/>
          <w:b/>
          <w:sz w:val="22"/>
          <w:szCs w:val="22"/>
        </w:rPr>
      </w:pPr>
    </w:p>
    <w:p w14:paraId="3D77734F" w14:textId="77777777" w:rsidR="009E7BA1" w:rsidRPr="00333BE4" w:rsidRDefault="009E7BA1" w:rsidP="009624DB">
      <w:pPr>
        <w:pStyle w:val="ListParagraph"/>
        <w:rPr>
          <w:rFonts w:asciiTheme="minorHAnsi" w:hAnsiTheme="minorHAnsi"/>
          <w:sz w:val="22"/>
          <w:szCs w:val="22"/>
        </w:rPr>
      </w:pPr>
      <w:r w:rsidRPr="00333BE4">
        <w:rPr>
          <w:rFonts w:asciiTheme="minorHAnsi" w:hAnsiTheme="minorHAnsi"/>
          <w:sz w:val="22"/>
          <w:szCs w:val="22"/>
        </w:rPr>
        <w:t>There was very little difference between the proportion of males and females achieving good degrees but a higher proportion of males left with 3</w:t>
      </w:r>
      <w:r w:rsidRPr="00333BE4">
        <w:rPr>
          <w:rFonts w:asciiTheme="minorHAnsi" w:hAnsiTheme="minorHAnsi"/>
          <w:sz w:val="22"/>
          <w:szCs w:val="22"/>
          <w:vertAlign w:val="superscript"/>
        </w:rPr>
        <w:t>rd</w:t>
      </w:r>
      <w:r w:rsidRPr="00333BE4">
        <w:rPr>
          <w:rFonts w:asciiTheme="minorHAnsi" w:hAnsiTheme="minorHAnsi"/>
          <w:sz w:val="22"/>
          <w:szCs w:val="22"/>
        </w:rPr>
        <w:t xml:space="preserve"> class honours (8% against 2%).</w:t>
      </w:r>
    </w:p>
    <w:p w14:paraId="2A8F6C73" w14:textId="77777777" w:rsidR="009E7BA1" w:rsidRPr="00333BE4" w:rsidRDefault="009E7BA1" w:rsidP="00DC3831">
      <w:pPr>
        <w:pStyle w:val="ListParagraph"/>
        <w:ind w:left="0"/>
        <w:rPr>
          <w:rFonts w:asciiTheme="minorHAnsi" w:hAnsiTheme="minorHAnsi"/>
          <w:sz w:val="22"/>
          <w:szCs w:val="22"/>
        </w:rPr>
      </w:pPr>
    </w:p>
    <w:p w14:paraId="5B404DF2" w14:textId="7BA9DC69" w:rsidR="009E7BA1" w:rsidRPr="00333BE4" w:rsidRDefault="009E7BA1" w:rsidP="009624DB">
      <w:pPr>
        <w:pStyle w:val="ListParagraph"/>
        <w:rPr>
          <w:rFonts w:asciiTheme="minorHAnsi" w:hAnsiTheme="minorHAnsi"/>
          <w:sz w:val="22"/>
          <w:szCs w:val="22"/>
        </w:rPr>
      </w:pPr>
      <w:r w:rsidRPr="00333BE4">
        <w:rPr>
          <w:rFonts w:asciiTheme="minorHAnsi" w:hAnsiTheme="minorHAnsi"/>
          <w:sz w:val="22"/>
          <w:szCs w:val="22"/>
        </w:rPr>
        <w:t>Across English HE providers in 2013/14, a higher proportion of female qualifiers received good degrees than male qualifiers (72.5% female/67.4% male)</w:t>
      </w:r>
      <w:r w:rsidR="00BF2CDA" w:rsidRPr="00333BE4">
        <w:rPr>
          <w:rStyle w:val="FootnoteReference"/>
          <w:rFonts w:asciiTheme="minorHAnsi" w:hAnsiTheme="minorHAnsi"/>
          <w:sz w:val="22"/>
          <w:szCs w:val="22"/>
        </w:rPr>
        <w:t>5</w:t>
      </w:r>
      <w:r w:rsidRPr="00333BE4">
        <w:rPr>
          <w:rFonts w:asciiTheme="minorHAnsi" w:hAnsiTheme="minorHAnsi"/>
          <w:sz w:val="22"/>
          <w:szCs w:val="22"/>
        </w:rPr>
        <w:t>.</w:t>
      </w:r>
    </w:p>
    <w:p w14:paraId="1770448D" w14:textId="77777777" w:rsidR="003A6B0F" w:rsidRPr="00333BE4" w:rsidRDefault="003A6B0F" w:rsidP="003A6B0F">
      <w:pPr>
        <w:spacing w:before="240"/>
        <w:rPr>
          <w:rFonts w:asciiTheme="minorHAnsi" w:hAnsiTheme="minorHAnsi"/>
          <w:sz w:val="22"/>
          <w:szCs w:val="22"/>
        </w:rPr>
      </w:pPr>
    </w:p>
    <w:p w14:paraId="3E79AB45" w14:textId="77777777" w:rsidR="00BF2CDA" w:rsidRPr="00333BE4" w:rsidRDefault="00BF2CDA" w:rsidP="009E7BA1">
      <w:pPr>
        <w:spacing w:line="276" w:lineRule="auto"/>
        <w:rPr>
          <w:rFonts w:asciiTheme="minorHAnsi" w:hAnsiTheme="minorHAnsi"/>
          <w:b/>
          <w:sz w:val="22"/>
          <w:szCs w:val="22"/>
        </w:rPr>
      </w:pPr>
    </w:p>
    <w:p w14:paraId="083F973F" w14:textId="77777777" w:rsidR="00B84C34" w:rsidRDefault="00B84C34" w:rsidP="009E7BA1">
      <w:pPr>
        <w:spacing w:line="276" w:lineRule="auto"/>
        <w:rPr>
          <w:rFonts w:asciiTheme="minorHAnsi" w:hAnsiTheme="minorHAnsi"/>
          <w:b/>
          <w:sz w:val="22"/>
          <w:szCs w:val="22"/>
        </w:rPr>
      </w:pPr>
    </w:p>
    <w:p w14:paraId="5A614587" w14:textId="705465EF" w:rsidR="009E7BA1" w:rsidRPr="00333BE4" w:rsidRDefault="009E7BA1" w:rsidP="009E7BA1">
      <w:pPr>
        <w:spacing w:line="276" w:lineRule="auto"/>
        <w:rPr>
          <w:rFonts w:asciiTheme="minorHAnsi" w:hAnsiTheme="minorHAnsi"/>
          <w:b/>
          <w:sz w:val="22"/>
          <w:szCs w:val="22"/>
        </w:rPr>
      </w:pPr>
      <w:r w:rsidRPr="00333BE4">
        <w:rPr>
          <w:rFonts w:asciiTheme="minorHAnsi" w:hAnsiTheme="minorHAnsi"/>
          <w:b/>
          <w:sz w:val="22"/>
          <w:szCs w:val="22"/>
        </w:rPr>
        <w:t>Figure 3a: Degree classification</w:t>
      </w:r>
      <w:r w:rsidR="00BF2CDA" w:rsidRPr="00333BE4">
        <w:rPr>
          <w:rFonts w:asciiTheme="minorHAnsi" w:hAnsiTheme="minorHAnsi"/>
          <w:b/>
          <w:sz w:val="22"/>
          <w:szCs w:val="22"/>
        </w:rPr>
        <w:t>s, females and males 2012/13 to</w:t>
      </w:r>
      <w:r w:rsidRPr="00333BE4">
        <w:rPr>
          <w:rFonts w:asciiTheme="minorHAnsi" w:hAnsiTheme="minorHAnsi"/>
          <w:b/>
          <w:sz w:val="22"/>
          <w:szCs w:val="22"/>
        </w:rPr>
        <w:t xml:space="preserve"> 2014/15</w:t>
      </w:r>
    </w:p>
    <w:p w14:paraId="61A9ECD1" w14:textId="6A4AD3F0" w:rsidR="009E7BA1" w:rsidRPr="00333BE4" w:rsidRDefault="009E7BA1" w:rsidP="009E7BA1">
      <w:pPr>
        <w:spacing w:line="276" w:lineRule="auto"/>
        <w:rPr>
          <w:rFonts w:asciiTheme="minorHAnsi" w:hAnsiTheme="minorHAnsi"/>
          <w:b/>
          <w:sz w:val="22"/>
          <w:szCs w:val="22"/>
        </w:rPr>
      </w:pPr>
      <w:r w:rsidRPr="00333BE4">
        <w:rPr>
          <w:rFonts w:asciiTheme="minorHAnsi" w:hAnsiTheme="minorHAnsi"/>
          <w:noProof/>
          <w:sz w:val="22"/>
          <w:szCs w:val="22"/>
        </w:rPr>
        <w:lastRenderedPageBreak/>
        <w:drawing>
          <wp:inline distT="0" distB="0" distL="0" distR="0" wp14:anchorId="53B1940C" wp14:editId="5E8985D8">
            <wp:extent cx="4756236" cy="3959750"/>
            <wp:effectExtent l="0" t="0" r="635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9441" cy="3962419"/>
                    </a:xfrm>
                    <a:prstGeom prst="rect">
                      <a:avLst/>
                    </a:prstGeom>
                    <a:noFill/>
                  </pic:spPr>
                </pic:pic>
              </a:graphicData>
            </a:graphic>
          </wp:inline>
        </w:drawing>
      </w:r>
    </w:p>
    <w:p w14:paraId="15B1BD84" w14:textId="77777777" w:rsidR="009E7BA1" w:rsidRPr="00333BE4" w:rsidRDefault="009E7BA1" w:rsidP="009E7BA1">
      <w:pPr>
        <w:spacing w:line="276" w:lineRule="auto"/>
        <w:rPr>
          <w:rFonts w:asciiTheme="minorHAnsi" w:hAnsiTheme="minorHAnsi"/>
          <w:b/>
          <w:sz w:val="22"/>
          <w:szCs w:val="22"/>
        </w:rPr>
      </w:pPr>
    </w:p>
    <w:p w14:paraId="425E97DF" w14:textId="77777777" w:rsidR="00D03DB8" w:rsidRPr="00333BE4" w:rsidRDefault="00D03DB8" w:rsidP="009624DB">
      <w:pPr>
        <w:pStyle w:val="ListParagraph"/>
        <w:jc w:val="both"/>
        <w:rPr>
          <w:rFonts w:asciiTheme="minorHAnsi" w:hAnsiTheme="minorHAnsi"/>
          <w:sz w:val="22"/>
          <w:szCs w:val="22"/>
        </w:rPr>
      </w:pPr>
      <w:r w:rsidRPr="00333BE4">
        <w:rPr>
          <w:rFonts w:asciiTheme="minorHAnsi" w:hAnsiTheme="minorHAnsi"/>
          <w:sz w:val="22"/>
          <w:szCs w:val="22"/>
        </w:rPr>
        <w:t>Statistics on degree outcomes by ethnicity are volatile owing to the small number of minority ethnic students in the graduating population.  There were 20 minority ethnic students in the 2014/15 graduating population so one student contributes 5 percentage points to the statistics. With this in mind, the statistics show that there was little difference in degree outcomes for minority ethnic students compared with other students.</w:t>
      </w:r>
    </w:p>
    <w:p w14:paraId="348DAF29" w14:textId="77777777" w:rsidR="00DC3831" w:rsidRPr="00333BE4" w:rsidRDefault="00DC3831" w:rsidP="00DC3831">
      <w:pPr>
        <w:pStyle w:val="ListParagraph"/>
        <w:ind w:left="208"/>
        <w:jc w:val="both"/>
        <w:rPr>
          <w:rFonts w:asciiTheme="minorHAnsi" w:hAnsiTheme="minorHAnsi"/>
          <w:sz w:val="22"/>
          <w:szCs w:val="22"/>
        </w:rPr>
      </w:pPr>
    </w:p>
    <w:p w14:paraId="41F5282B" w14:textId="77777777" w:rsidR="00D03DB8" w:rsidRPr="00333BE4" w:rsidRDefault="00D03DB8" w:rsidP="009624DB">
      <w:pPr>
        <w:ind w:left="720"/>
        <w:jc w:val="both"/>
        <w:rPr>
          <w:rFonts w:asciiTheme="minorHAnsi" w:hAnsiTheme="minorHAnsi"/>
          <w:sz w:val="22"/>
          <w:szCs w:val="22"/>
        </w:rPr>
      </w:pPr>
      <w:r w:rsidRPr="00333BE4">
        <w:rPr>
          <w:rFonts w:asciiTheme="minorHAnsi" w:hAnsiTheme="minorHAnsi"/>
          <w:sz w:val="22"/>
          <w:szCs w:val="22"/>
        </w:rPr>
        <w:t>Across the UK the ethnicity degree attainment gap was 15.2 percentage points. 75.6% of white qualifiers received a first/2:1 compared with 60.4% of BME qualifiers</w:t>
      </w:r>
      <w:r w:rsidRPr="00333BE4">
        <w:rPr>
          <w:rStyle w:val="FootnoteReference"/>
          <w:rFonts w:asciiTheme="minorHAnsi" w:hAnsiTheme="minorHAnsi"/>
          <w:sz w:val="22"/>
          <w:szCs w:val="22"/>
        </w:rPr>
        <w:footnoteReference w:id="6"/>
      </w:r>
      <w:r w:rsidRPr="00333BE4">
        <w:rPr>
          <w:rFonts w:asciiTheme="minorHAnsi" w:hAnsiTheme="minorHAnsi"/>
          <w:sz w:val="22"/>
          <w:szCs w:val="22"/>
        </w:rPr>
        <w:t>.</w:t>
      </w:r>
    </w:p>
    <w:p w14:paraId="075AD308" w14:textId="77777777" w:rsidR="00D03DB8" w:rsidRPr="00333BE4" w:rsidRDefault="00D03DB8" w:rsidP="009E7BA1">
      <w:pPr>
        <w:spacing w:line="276" w:lineRule="auto"/>
        <w:rPr>
          <w:rFonts w:asciiTheme="minorHAnsi" w:hAnsiTheme="minorHAnsi"/>
          <w:b/>
          <w:sz w:val="22"/>
          <w:szCs w:val="22"/>
        </w:rPr>
      </w:pPr>
    </w:p>
    <w:p w14:paraId="1FAEBEC3" w14:textId="77777777" w:rsidR="00B84C34" w:rsidRDefault="00B84C34" w:rsidP="009E7BA1">
      <w:pPr>
        <w:spacing w:line="276" w:lineRule="auto"/>
        <w:rPr>
          <w:rFonts w:asciiTheme="minorHAnsi" w:hAnsiTheme="minorHAnsi"/>
          <w:b/>
          <w:sz w:val="22"/>
          <w:szCs w:val="22"/>
        </w:rPr>
      </w:pPr>
    </w:p>
    <w:p w14:paraId="23695F05" w14:textId="6D8606EE" w:rsidR="009E7BA1" w:rsidRPr="00333BE4" w:rsidRDefault="009E7BA1" w:rsidP="009E7BA1">
      <w:pPr>
        <w:spacing w:line="276" w:lineRule="auto"/>
        <w:rPr>
          <w:rFonts w:asciiTheme="minorHAnsi" w:hAnsiTheme="minorHAnsi"/>
          <w:b/>
          <w:sz w:val="22"/>
          <w:szCs w:val="22"/>
        </w:rPr>
      </w:pPr>
      <w:r w:rsidRPr="00333BE4">
        <w:rPr>
          <w:rFonts w:asciiTheme="minorHAnsi" w:hAnsiTheme="minorHAnsi"/>
          <w:b/>
          <w:sz w:val="22"/>
          <w:szCs w:val="22"/>
        </w:rPr>
        <w:t>Figure 3b: Degree classification</w:t>
      </w:r>
      <w:r w:rsidR="00BF2CDA" w:rsidRPr="00333BE4">
        <w:rPr>
          <w:rFonts w:asciiTheme="minorHAnsi" w:hAnsiTheme="minorHAnsi"/>
          <w:b/>
          <w:sz w:val="22"/>
          <w:szCs w:val="22"/>
        </w:rPr>
        <w:t xml:space="preserve">s, 2012/13 to </w:t>
      </w:r>
      <w:r w:rsidRPr="00333BE4">
        <w:rPr>
          <w:rFonts w:asciiTheme="minorHAnsi" w:hAnsiTheme="minorHAnsi"/>
          <w:b/>
          <w:sz w:val="22"/>
          <w:szCs w:val="22"/>
        </w:rPr>
        <w:t>201</w:t>
      </w:r>
      <w:r w:rsidR="00BF2CDA" w:rsidRPr="00333BE4">
        <w:rPr>
          <w:rFonts w:asciiTheme="minorHAnsi" w:hAnsiTheme="minorHAnsi"/>
          <w:b/>
          <w:sz w:val="22"/>
          <w:szCs w:val="22"/>
        </w:rPr>
        <w:t>4</w:t>
      </w:r>
      <w:r w:rsidRPr="00333BE4">
        <w:rPr>
          <w:rFonts w:asciiTheme="minorHAnsi" w:hAnsiTheme="minorHAnsi"/>
          <w:b/>
          <w:sz w:val="22"/>
          <w:szCs w:val="22"/>
        </w:rPr>
        <w:t>/1</w:t>
      </w:r>
      <w:r w:rsidR="00BF2CDA" w:rsidRPr="00333BE4">
        <w:rPr>
          <w:rFonts w:asciiTheme="minorHAnsi" w:hAnsiTheme="minorHAnsi"/>
          <w:b/>
          <w:sz w:val="22"/>
          <w:szCs w:val="22"/>
        </w:rPr>
        <w:t>5</w:t>
      </w:r>
      <w:r w:rsidRPr="00333BE4">
        <w:rPr>
          <w:rFonts w:asciiTheme="minorHAnsi" w:hAnsiTheme="minorHAnsi"/>
          <w:b/>
          <w:sz w:val="22"/>
          <w:szCs w:val="22"/>
        </w:rPr>
        <w:t xml:space="preserve"> by ethnicity</w:t>
      </w:r>
    </w:p>
    <w:p w14:paraId="01F45299" w14:textId="15116ECF" w:rsidR="009E7BA1" w:rsidRPr="00333BE4" w:rsidRDefault="009E7BA1" w:rsidP="009E7BA1">
      <w:pPr>
        <w:spacing w:line="276" w:lineRule="auto"/>
        <w:rPr>
          <w:rFonts w:asciiTheme="minorHAnsi" w:hAnsiTheme="minorHAnsi"/>
          <w:b/>
          <w:sz w:val="22"/>
          <w:szCs w:val="22"/>
        </w:rPr>
      </w:pPr>
      <w:r w:rsidRPr="00333BE4">
        <w:rPr>
          <w:rFonts w:asciiTheme="minorHAnsi" w:hAnsiTheme="minorHAnsi"/>
          <w:noProof/>
          <w:sz w:val="22"/>
          <w:szCs w:val="22"/>
        </w:rPr>
        <w:lastRenderedPageBreak/>
        <w:drawing>
          <wp:inline distT="0" distB="0" distL="0" distR="0" wp14:anchorId="58D4A9A8" wp14:editId="717D742F">
            <wp:extent cx="4829378" cy="4015409"/>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4879" cy="4019983"/>
                    </a:xfrm>
                    <a:prstGeom prst="rect">
                      <a:avLst/>
                    </a:prstGeom>
                    <a:noFill/>
                  </pic:spPr>
                </pic:pic>
              </a:graphicData>
            </a:graphic>
          </wp:inline>
        </w:drawing>
      </w:r>
    </w:p>
    <w:p w14:paraId="5EC035D0" w14:textId="77777777" w:rsidR="009E7BA1" w:rsidRPr="00333BE4" w:rsidRDefault="009E7BA1" w:rsidP="009E7BA1">
      <w:pPr>
        <w:spacing w:line="276" w:lineRule="auto"/>
        <w:rPr>
          <w:rFonts w:asciiTheme="minorHAnsi" w:hAnsiTheme="minorHAnsi"/>
          <w:b/>
          <w:sz w:val="22"/>
          <w:szCs w:val="22"/>
        </w:rPr>
      </w:pPr>
    </w:p>
    <w:p w14:paraId="6E67D7BB" w14:textId="77777777" w:rsidR="00D03DB8" w:rsidRPr="00333BE4" w:rsidRDefault="00D03DB8" w:rsidP="009624DB">
      <w:pPr>
        <w:pStyle w:val="ListParagraph"/>
        <w:jc w:val="both"/>
        <w:rPr>
          <w:rFonts w:asciiTheme="minorHAnsi" w:hAnsiTheme="minorHAnsi"/>
          <w:sz w:val="22"/>
          <w:szCs w:val="22"/>
        </w:rPr>
      </w:pPr>
      <w:r w:rsidRPr="00333BE4">
        <w:rPr>
          <w:rFonts w:asciiTheme="minorHAnsi" w:hAnsiTheme="minorHAnsi"/>
          <w:sz w:val="22"/>
          <w:szCs w:val="22"/>
        </w:rPr>
        <w:t>As in previous years, a smaller proportion of disabled students compared with non-disabled students achieved good degrees but the gap has decreased compared with the previous year.  The main difference between these two groups of students is the proportion of Firsts awarded (7% of students with a disability achieved a 1st compared with 14% of those with no disability).</w:t>
      </w:r>
    </w:p>
    <w:p w14:paraId="20CC0EB5" w14:textId="77777777" w:rsidR="00D03DB8" w:rsidRPr="00333BE4" w:rsidRDefault="00D03DB8" w:rsidP="00D03DB8">
      <w:pPr>
        <w:pStyle w:val="ListParagraph"/>
        <w:ind w:left="360"/>
        <w:rPr>
          <w:rFonts w:asciiTheme="minorHAnsi" w:hAnsiTheme="minorHAnsi"/>
          <w:sz w:val="22"/>
          <w:szCs w:val="22"/>
        </w:rPr>
      </w:pPr>
    </w:p>
    <w:p w14:paraId="6716BD44" w14:textId="4F5CED46" w:rsidR="00D03DB8" w:rsidRPr="00333BE4" w:rsidRDefault="00D03DB8" w:rsidP="009624DB">
      <w:pPr>
        <w:pStyle w:val="ListParagraph"/>
        <w:jc w:val="both"/>
        <w:rPr>
          <w:rFonts w:asciiTheme="minorHAnsi" w:hAnsiTheme="minorHAnsi"/>
          <w:sz w:val="22"/>
          <w:szCs w:val="22"/>
        </w:rPr>
      </w:pPr>
      <w:r w:rsidRPr="00333BE4">
        <w:rPr>
          <w:rFonts w:asciiTheme="minorHAnsi" w:hAnsiTheme="minorHAnsi"/>
          <w:sz w:val="22"/>
          <w:szCs w:val="22"/>
        </w:rPr>
        <w:t>Sector level statistics show very little difference in the proportion of disabled students achieving good degrees compared with non-disabled students</w:t>
      </w:r>
      <w:r w:rsidRPr="00333BE4">
        <w:rPr>
          <w:rFonts w:asciiTheme="minorHAnsi" w:hAnsiTheme="minorHAnsi"/>
          <w:sz w:val="22"/>
          <w:szCs w:val="22"/>
          <w:vertAlign w:val="superscript"/>
        </w:rPr>
        <w:t>7</w:t>
      </w:r>
      <w:r w:rsidRPr="00333BE4">
        <w:rPr>
          <w:rFonts w:asciiTheme="minorHAnsi" w:hAnsiTheme="minorHAnsi"/>
          <w:sz w:val="22"/>
          <w:szCs w:val="22"/>
        </w:rPr>
        <w:t>.</w:t>
      </w:r>
    </w:p>
    <w:p w14:paraId="40581711" w14:textId="77777777" w:rsidR="00D27B26" w:rsidRPr="00333BE4" w:rsidRDefault="00D27B26" w:rsidP="009E7BA1">
      <w:pPr>
        <w:spacing w:line="276" w:lineRule="auto"/>
        <w:rPr>
          <w:rFonts w:asciiTheme="minorHAnsi" w:hAnsiTheme="minorHAnsi"/>
          <w:b/>
          <w:sz w:val="22"/>
          <w:szCs w:val="22"/>
        </w:rPr>
      </w:pPr>
    </w:p>
    <w:p w14:paraId="28D4E074" w14:textId="77777777" w:rsidR="00D27B26" w:rsidRPr="00333BE4" w:rsidRDefault="00D27B26" w:rsidP="009624DB">
      <w:pPr>
        <w:pStyle w:val="ListParagraph"/>
        <w:jc w:val="both"/>
        <w:rPr>
          <w:rFonts w:asciiTheme="minorHAnsi" w:hAnsiTheme="minorHAnsi"/>
          <w:sz w:val="22"/>
          <w:szCs w:val="22"/>
        </w:rPr>
      </w:pPr>
      <w:r w:rsidRPr="00333BE4">
        <w:rPr>
          <w:rFonts w:asciiTheme="minorHAnsi" w:hAnsiTheme="minorHAnsi"/>
          <w:sz w:val="22"/>
          <w:szCs w:val="22"/>
        </w:rPr>
        <w:t>As in previous years, a higher proportion of mature students achieved 1sts or 2.1s than those aged under 21 years (72% compared with 64%).</w:t>
      </w:r>
    </w:p>
    <w:p w14:paraId="09B38F05" w14:textId="77777777" w:rsidR="00D27B26" w:rsidRPr="00333BE4" w:rsidRDefault="00D27B26" w:rsidP="00D27B26">
      <w:pPr>
        <w:pStyle w:val="ListParagraph"/>
        <w:ind w:left="208"/>
        <w:jc w:val="both"/>
        <w:rPr>
          <w:rFonts w:asciiTheme="minorHAnsi" w:hAnsiTheme="minorHAnsi"/>
          <w:sz w:val="22"/>
          <w:szCs w:val="22"/>
        </w:rPr>
      </w:pPr>
    </w:p>
    <w:p w14:paraId="4882743B" w14:textId="2C09F66C" w:rsidR="00D27B26" w:rsidRPr="00333BE4" w:rsidRDefault="00D27B26" w:rsidP="009624DB">
      <w:pPr>
        <w:pStyle w:val="ListParagraph"/>
        <w:jc w:val="both"/>
        <w:rPr>
          <w:rFonts w:asciiTheme="minorHAnsi" w:hAnsiTheme="minorHAnsi"/>
          <w:sz w:val="22"/>
          <w:szCs w:val="22"/>
        </w:rPr>
      </w:pPr>
      <w:r w:rsidRPr="00333BE4">
        <w:rPr>
          <w:rFonts w:asciiTheme="minorHAnsi" w:hAnsiTheme="minorHAnsi"/>
          <w:sz w:val="22"/>
          <w:szCs w:val="22"/>
        </w:rPr>
        <w:t>Statistics for the sector show that the proportion of qualifiers receiving a first increased with age. However, the proportion of students receiving a third/pass also increased with age</w:t>
      </w:r>
      <w:r w:rsidR="00850DDA" w:rsidRPr="00333BE4">
        <w:rPr>
          <w:rFonts w:asciiTheme="minorHAnsi" w:hAnsiTheme="minorHAnsi"/>
          <w:sz w:val="22"/>
          <w:szCs w:val="22"/>
          <w:vertAlign w:val="superscript"/>
        </w:rPr>
        <w:t>7</w:t>
      </w:r>
      <w:r w:rsidRPr="00333BE4">
        <w:rPr>
          <w:rFonts w:asciiTheme="minorHAnsi" w:hAnsiTheme="minorHAnsi"/>
          <w:sz w:val="22"/>
          <w:szCs w:val="22"/>
        </w:rPr>
        <w:t>.</w:t>
      </w:r>
    </w:p>
    <w:p w14:paraId="0E79B508" w14:textId="77777777" w:rsidR="00D27B26" w:rsidRPr="00333BE4" w:rsidRDefault="00D27B26" w:rsidP="009E7BA1">
      <w:pPr>
        <w:spacing w:line="276" w:lineRule="auto"/>
        <w:rPr>
          <w:rFonts w:asciiTheme="minorHAnsi" w:hAnsiTheme="minorHAnsi"/>
          <w:b/>
          <w:sz w:val="22"/>
          <w:szCs w:val="22"/>
        </w:rPr>
      </w:pPr>
    </w:p>
    <w:p w14:paraId="6E229CD1" w14:textId="77777777" w:rsidR="00D27B26" w:rsidRPr="00333BE4" w:rsidRDefault="00D27B26" w:rsidP="009E7BA1">
      <w:pPr>
        <w:spacing w:line="276" w:lineRule="auto"/>
        <w:rPr>
          <w:rFonts w:asciiTheme="minorHAnsi" w:hAnsiTheme="minorHAnsi"/>
          <w:b/>
          <w:sz w:val="22"/>
          <w:szCs w:val="22"/>
        </w:rPr>
      </w:pPr>
    </w:p>
    <w:p w14:paraId="40E6DE82" w14:textId="77777777" w:rsidR="00D27B26" w:rsidRPr="00333BE4" w:rsidRDefault="00D27B26" w:rsidP="009E7BA1">
      <w:pPr>
        <w:spacing w:line="276" w:lineRule="auto"/>
        <w:rPr>
          <w:rFonts w:asciiTheme="minorHAnsi" w:hAnsiTheme="minorHAnsi"/>
          <w:b/>
          <w:sz w:val="22"/>
          <w:szCs w:val="22"/>
        </w:rPr>
      </w:pPr>
    </w:p>
    <w:p w14:paraId="73F3004F" w14:textId="77777777" w:rsidR="00D27B26" w:rsidRPr="00333BE4" w:rsidRDefault="00D27B26" w:rsidP="009E7BA1">
      <w:pPr>
        <w:spacing w:line="276" w:lineRule="auto"/>
        <w:rPr>
          <w:rFonts w:asciiTheme="minorHAnsi" w:hAnsiTheme="minorHAnsi"/>
          <w:b/>
          <w:sz w:val="22"/>
          <w:szCs w:val="22"/>
        </w:rPr>
      </w:pPr>
    </w:p>
    <w:p w14:paraId="59E718C7" w14:textId="77777777" w:rsidR="00D27B26" w:rsidRPr="00333BE4" w:rsidRDefault="00D27B26" w:rsidP="009E7BA1">
      <w:pPr>
        <w:spacing w:line="276" w:lineRule="auto"/>
        <w:rPr>
          <w:rFonts w:asciiTheme="minorHAnsi" w:hAnsiTheme="minorHAnsi"/>
          <w:b/>
          <w:sz w:val="22"/>
          <w:szCs w:val="22"/>
        </w:rPr>
      </w:pPr>
    </w:p>
    <w:p w14:paraId="11AE79B7" w14:textId="77777777" w:rsidR="00D27B26" w:rsidRPr="00333BE4" w:rsidRDefault="00D27B26" w:rsidP="009E7BA1">
      <w:pPr>
        <w:spacing w:line="276" w:lineRule="auto"/>
        <w:rPr>
          <w:rFonts w:asciiTheme="minorHAnsi" w:hAnsiTheme="minorHAnsi"/>
          <w:b/>
          <w:sz w:val="22"/>
          <w:szCs w:val="22"/>
        </w:rPr>
      </w:pPr>
    </w:p>
    <w:p w14:paraId="6D8018C6" w14:textId="77777777" w:rsidR="00D27B26" w:rsidRPr="00333BE4" w:rsidRDefault="00D27B26" w:rsidP="009E7BA1">
      <w:pPr>
        <w:spacing w:line="276" w:lineRule="auto"/>
        <w:rPr>
          <w:rFonts w:asciiTheme="minorHAnsi" w:hAnsiTheme="minorHAnsi"/>
          <w:b/>
          <w:sz w:val="22"/>
          <w:szCs w:val="22"/>
        </w:rPr>
      </w:pPr>
    </w:p>
    <w:p w14:paraId="66436614" w14:textId="77777777" w:rsidR="00D27B26" w:rsidRPr="00333BE4" w:rsidRDefault="00D27B26" w:rsidP="009E7BA1">
      <w:pPr>
        <w:spacing w:line="276" w:lineRule="auto"/>
        <w:rPr>
          <w:rFonts w:asciiTheme="minorHAnsi" w:hAnsiTheme="minorHAnsi"/>
          <w:b/>
          <w:sz w:val="22"/>
          <w:szCs w:val="22"/>
        </w:rPr>
      </w:pPr>
    </w:p>
    <w:p w14:paraId="42AFFABC" w14:textId="77777777" w:rsidR="00D27B26" w:rsidRPr="00333BE4" w:rsidRDefault="00D27B26" w:rsidP="009E7BA1">
      <w:pPr>
        <w:spacing w:line="276" w:lineRule="auto"/>
        <w:rPr>
          <w:rFonts w:asciiTheme="minorHAnsi" w:hAnsiTheme="minorHAnsi"/>
          <w:b/>
          <w:sz w:val="22"/>
          <w:szCs w:val="22"/>
        </w:rPr>
      </w:pPr>
    </w:p>
    <w:p w14:paraId="3927C750" w14:textId="77777777" w:rsidR="009D709A" w:rsidRDefault="009D709A" w:rsidP="009E7BA1">
      <w:pPr>
        <w:spacing w:line="276" w:lineRule="auto"/>
        <w:rPr>
          <w:rFonts w:asciiTheme="minorHAnsi" w:hAnsiTheme="minorHAnsi"/>
          <w:b/>
          <w:sz w:val="22"/>
          <w:szCs w:val="22"/>
        </w:rPr>
      </w:pPr>
    </w:p>
    <w:p w14:paraId="051038D7" w14:textId="09CDD9C3" w:rsidR="009E7BA1" w:rsidRPr="00333BE4" w:rsidRDefault="009E7BA1" w:rsidP="009E7BA1">
      <w:pPr>
        <w:spacing w:line="276" w:lineRule="auto"/>
        <w:rPr>
          <w:rFonts w:asciiTheme="minorHAnsi" w:hAnsiTheme="minorHAnsi"/>
          <w:b/>
          <w:sz w:val="22"/>
          <w:szCs w:val="22"/>
        </w:rPr>
      </w:pPr>
      <w:r w:rsidRPr="00333BE4">
        <w:rPr>
          <w:rFonts w:asciiTheme="minorHAnsi" w:hAnsiTheme="minorHAnsi"/>
          <w:b/>
          <w:sz w:val="22"/>
          <w:szCs w:val="22"/>
        </w:rPr>
        <w:t>Figure 3c: Degree classification</w:t>
      </w:r>
      <w:r w:rsidR="00D27B26" w:rsidRPr="00333BE4">
        <w:rPr>
          <w:rFonts w:asciiTheme="minorHAnsi" w:hAnsiTheme="minorHAnsi"/>
          <w:b/>
          <w:sz w:val="22"/>
          <w:szCs w:val="22"/>
        </w:rPr>
        <w:t>s, 2012/13 to</w:t>
      </w:r>
      <w:r w:rsidRPr="00333BE4">
        <w:rPr>
          <w:rFonts w:asciiTheme="minorHAnsi" w:hAnsiTheme="minorHAnsi"/>
          <w:b/>
          <w:sz w:val="22"/>
          <w:szCs w:val="22"/>
        </w:rPr>
        <w:t xml:space="preserve"> 201</w:t>
      </w:r>
      <w:r w:rsidR="00D27B26" w:rsidRPr="00333BE4">
        <w:rPr>
          <w:rFonts w:asciiTheme="minorHAnsi" w:hAnsiTheme="minorHAnsi"/>
          <w:b/>
          <w:sz w:val="22"/>
          <w:szCs w:val="22"/>
        </w:rPr>
        <w:t>4/15</w:t>
      </w:r>
      <w:r w:rsidRPr="00333BE4">
        <w:rPr>
          <w:rFonts w:asciiTheme="minorHAnsi" w:hAnsiTheme="minorHAnsi"/>
          <w:b/>
          <w:sz w:val="22"/>
          <w:szCs w:val="22"/>
        </w:rPr>
        <w:t xml:space="preserve"> by disability</w:t>
      </w:r>
    </w:p>
    <w:p w14:paraId="55346C4F" w14:textId="572BFF92" w:rsidR="00D03DB8" w:rsidRPr="00333BE4" w:rsidRDefault="00D03DB8" w:rsidP="009E7BA1">
      <w:pPr>
        <w:spacing w:line="276" w:lineRule="auto"/>
        <w:rPr>
          <w:rFonts w:asciiTheme="minorHAnsi" w:hAnsiTheme="minorHAnsi"/>
          <w:b/>
          <w:sz w:val="22"/>
          <w:szCs w:val="22"/>
        </w:rPr>
      </w:pPr>
      <w:r w:rsidRPr="00333BE4">
        <w:rPr>
          <w:rFonts w:asciiTheme="minorHAnsi" w:hAnsiTheme="minorHAnsi"/>
          <w:noProof/>
          <w:sz w:val="22"/>
          <w:szCs w:val="22"/>
        </w:rPr>
        <w:lastRenderedPageBreak/>
        <w:drawing>
          <wp:inline distT="0" distB="0" distL="0" distR="0" wp14:anchorId="4DF85AF5" wp14:editId="4BC63774">
            <wp:extent cx="4676368" cy="38881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81485" cy="3892443"/>
                    </a:xfrm>
                    <a:prstGeom prst="rect">
                      <a:avLst/>
                    </a:prstGeom>
                    <a:noFill/>
                  </pic:spPr>
                </pic:pic>
              </a:graphicData>
            </a:graphic>
          </wp:inline>
        </w:drawing>
      </w:r>
    </w:p>
    <w:p w14:paraId="0172BFCF" w14:textId="77777777" w:rsidR="009E7BA1" w:rsidRPr="00333BE4" w:rsidRDefault="009E7BA1" w:rsidP="009E7BA1">
      <w:pPr>
        <w:spacing w:line="276" w:lineRule="auto"/>
        <w:rPr>
          <w:rFonts w:asciiTheme="minorHAnsi" w:hAnsiTheme="minorHAnsi"/>
          <w:b/>
          <w:sz w:val="22"/>
          <w:szCs w:val="22"/>
        </w:rPr>
      </w:pPr>
    </w:p>
    <w:p w14:paraId="3CE50475" w14:textId="0332005B" w:rsidR="007C48D5" w:rsidRPr="00333BE4" w:rsidRDefault="009E7BA1" w:rsidP="00850DDA">
      <w:pPr>
        <w:spacing w:line="276" w:lineRule="auto"/>
        <w:rPr>
          <w:rFonts w:asciiTheme="minorHAnsi" w:hAnsiTheme="minorHAnsi"/>
          <w:b/>
          <w:sz w:val="22"/>
          <w:szCs w:val="22"/>
        </w:rPr>
      </w:pPr>
      <w:r w:rsidRPr="00333BE4">
        <w:rPr>
          <w:rFonts w:asciiTheme="minorHAnsi" w:hAnsiTheme="minorHAnsi"/>
          <w:b/>
          <w:sz w:val="22"/>
          <w:szCs w:val="22"/>
        </w:rPr>
        <w:t>Figure 3d: Degree classifications, 2012/13 to 2014/15</w:t>
      </w:r>
      <w:r w:rsidR="0098360D" w:rsidRPr="00333BE4">
        <w:rPr>
          <w:rFonts w:asciiTheme="minorHAnsi" w:hAnsiTheme="minorHAnsi"/>
          <w:b/>
          <w:sz w:val="22"/>
          <w:szCs w:val="22"/>
        </w:rPr>
        <w:t xml:space="preserve"> by age</w:t>
      </w:r>
    </w:p>
    <w:p w14:paraId="1770448E" w14:textId="1E7F678C" w:rsidR="003A6B0F" w:rsidRPr="00333BE4" w:rsidRDefault="009E7BA1" w:rsidP="003A6B0F">
      <w:pPr>
        <w:rPr>
          <w:rFonts w:asciiTheme="minorHAnsi" w:hAnsiTheme="minorHAnsi"/>
          <w:b/>
          <w:sz w:val="22"/>
          <w:szCs w:val="22"/>
        </w:rPr>
      </w:pPr>
      <w:r w:rsidRPr="00333BE4">
        <w:rPr>
          <w:rFonts w:asciiTheme="minorHAnsi" w:hAnsiTheme="minorHAnsi"/>
          <w:b/>
          <w:noProof/>
          <w:sz w:val="22"/>
          <w:szCs w:val="22"/>
        </w:rPr>
        <w:drawing>
          <wp:inline distT="0" distB="0" distL="0" distR="0" wp14:anchorId="18B42062" wp14:editId="5EE926AD">
            <wp:extent cx="4857750" cy="403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7416" cy="4047037"/>
                    </a:xfrm>
                    <a:prstGeom prst="rect">
                      <a:avLst/>
                    </a:prstGeom>
                    <a:noFill/>
                  </pic:spPr>
                </pic:pic>
              </a:graphicData>
            </a:graphic>
          </wp:inline>
        </w:drawing>
      </w:r>
    </w:p>
    <w:p w14:paraId="151C73FF" w14:textId="77777777" w:rsidR="009D709A" w:rsidRDefault="009D709A" w:rsidP="003A6B0F">
      <w:pPr>
        <w:rPr>
          <w:rFonts w:asciiTheme="minorHAnsi" w:hAnsiTheme="minorHAnsi"/>
          <w:b/>
          <w:sz w:val="22"/>
          <w:szCs w:val="22"/>
        </w:rPr>
      </w:pPr>
    </w:p>
    <w:p w14:paraId="1C1A46A2" w14:textId="374CB730" w:rsidR="007C48D5" w:rsidRDefault="007C48D5" w:rsidP="003A6B0F">
      <w:pPr>
        <w:rPr>
          <w:rFonts w:asciiTheme="minorHAnsi" w:hAnsiTheme="minorHAnsi"/>
          <w:b/>
          <w:sz w:val="22"/>
          <w:szCs w:val="22"/>
        </w:rPr>
      </w:pPr>
      <w:r w:rsidRPr="00333BE4">
        <w:rPr>
          <w:rFonts w:asciiTheme="minorHAnsi" w:hAnsiTheme="minorHAnsi"/>
          <w:b/>
          <w:sz w:val="22"/>
          <w:szCs w:val="22"/>
        </w:rPr>
        <w:t>Student satisfaction</w:t>
      </w:r>
    </w:p>
    <w:p w14:paraId="5DDE3F8E" w14:textId="77777777" w:rsidR="00B84C34" w:rsidRPr="00333BE4" w:rsidRDefault="00B84C34" w:rsidP="003A6B0F">
      <w:pPr>
        <w:rPr>
          <w:rFonts w:asciiTheme="minorHAnsi" w:hAnsiTheme="minorHAnsi"/>
          <w:b/>
          <w:sz w:val="22"/>
          <w:szCs w:val="22"/>
        </w:rPr>
      </w:pPr>
    </w:p>
    <w:p w14:paraId="54D10B15" w14:textId="6BE00B38" w:rsidR="00256CD9" w:rsidRPr="00333BE4" w:rsidRDefault="00DC7A5B" w:rsidP="009624DB">
      <w:pPr>
        <w:ind w:left="720"/>
        <w:jc w:val="both"/>
        <w:rPr>
          <w:rFonts w:asciiTheme="minorHAnsi" w:hAnsiTheme="minorHAnsi"/>
          <w:sz w:val="22"/>
          <w:szCs w:val="22"/>
        </w:rPr>
      </w:pPr>
      <w:r w:rsidRPr="00333BE4">
        <w:rPr>
          <w:rFonts w:asciiTheme="minorHAnsi" w:hAnsiTheme="minorHAnsi"/>
          <w:sz w:val="22"/>
          <w:szCs w:val="22"/>
        </w:rPr>
        <w:lastRenderedPageBreak/>
        <w:t xml:space="preserve">According to the 2015 National Student Survey, 79 </w:t>
      </w:r>
      <w:r w:rsidR="001A68ED" w:rsidRPr="00333BE4">
        <w:rPr>
          <w:rFonts w:asciiTheme="minorHAnsi" w:hAnsiTheme="minorHAnsi"/>
          <w:sz w:val="22"/>
          <w:szCs w:val="22"/>
        </w:rPr>
        <w:t>per cent</w:t>
      </w:r>
      <w:r w:rsidR="00256CD9" w:rsidRPr="00333BE4">
        <w:rPr>
          <w:rFonts w:asciiTheme="minorHAnsi" w:hAnsiTheme="minorHAnsi"/>
          <w:sz w:val="22"/>
          <w:szCs w:val="22"/>
        </w:rPr>
        <w:t xml:space="preserve"> of students with a learning disability agreed that ‘Overall I</w:t>
      </w:r>
      <w:r w:rsidR="001A68ED" w:rsidRPr="00333BE4">
        <w:rPr>
          <w:rFonts w:asciiTheme="minorHAnsi" w:hAnsiTheme="minorHAnsi"/>
          <w:sz w:val="22"/>
          <w:szCs w:val="22"/>
        </w:rPr>
        <w:t xml:space="preserve"> am satisfied’ compared with 77 per cent</w:t>
      </w:r>
      <w:r w:rsidR="00256CD9" w:rsidRPr="00333BE4">
        <w:rPr>
          <w:rFonts w:asciiTheme="minorHAnsi" w:hAnsiTheme="minorHAnsi"/>
          <w:sz w:val="22"/>
          <w:szCs w:val="22"/>
        </w:rPr>
        <w:t xml:space="preserve"> of those wi</w:t>
      </w:r>
      <w:r w:rsidR="001A68ED" w:rsidRPr="00333BE4">
        <w:rPr>
          <w:rFonts w:asciiTheme="minorHAnsi" w:hAnsiTheme="minorHAnsi"/>
          <w:sz w:val="22"/>
          <w:szCs w:val="22"/>
        </w:rPr>
        <w:t>th some other disability and 86 per cent</w:t>
      </w:r>
      <w:r w:rsidR="00256CD9" w:rsidRPr="00333BE4">
        <w:rPr>
          <w:rFonts w:asciiTheme="minorHAnsi" w:hAnsiTheme="minorHAnsi"/>
          <w:sz w:val="22"/>
          <w:szCs w:val="22"/>
        </w:rPr>
        <w:t xml:space="preserve"> of those without a disability. Those with a learning difficulty were less satisfied that they have been able to access specialised equipment, facilities or rooms, that any changes in the course or teaching have ben communicated effectively, that the timetable works efficiently and that they have received sufficient advice and suppor</w:t>
      </w:r>
      <w:r w:rsidR="003926C6" w:rsidRPr="00333BE4">
        <w:rPr>
          <w:rFonts w:asciiTheme="minorHAnsi" w:hAnsiTheme="minorHAnsi"/>
          <w:sz w:val="22"/>
          <w:szCs w:val="22"/>
        </w:rPr>
        <w:t>t with their studies. (Figure 4a</w:t>
      </w:r>
      <w:r w:rsidR="00256CD9" w:rsidRPr="00333BE4">
        <w:rPr>
          <w:rFonts w:asciiTheme="minorHAnsi" w:hAnsiTheme="minorHAnsi"/>
          <w:sz w:val="22"/>
          <w:szCs w:val="22"/>
        </w:rPr>
        <w:t>)</w:t>
      </w:r>
    </w:p>
    <w:p w14:paraId="72A2FDDE" w14:textId="77777777" w:rsidR="00256CD9" w:rsidRPr="00333BE4" w:rsidRDefault="00256CD9" w:rsidP="00DC3831">
      <w:pPr>
        <w:jc w:val="both"/>
        <w:rPr>
          <w:rFonts w:asciiTheme="minorHAnsi" w:hAnsiTheme="minorHAnsi"/>
          <w:sz w:val="22"/>
          <w:szCs w:val="22"/>
        </w:rPr>
      </w:pPr>
    </w:p>
    <w:p w14:paraId="71F2144C" w14:textId="190C9A77" w:rsidR="00256CD9" w:rsidRPr="00333BE4" w:rsidRDefault="00256CD9" w:rsidP="009624DB">
      <w:pPr>
        <w:ind w:left="720"/>
        <w:jc w:val="both"/>
        <w:rPr>
          <w:rFonts w:asciiTheme="minorHAnsi" w:hAnsiTheme="minorHAnsi"/>
          <w:sz w:val="22"/>
          <w:szCs w:val="22"/>
        </w:rPr>
      </w:pPr>
      <w:r w:rsidRPr="00333BE4">
        <w:rPr>
          <w:rFonts w:asciiTheme="minorHAnsi" w:hAnsiTheme="minorHAnsi"/>
          <w:sz w:val="22"/>
          <w:szCs w:val="22"/>
        </w:rPr>
        <w:t>Students with a disability were less satisfied that ‘as a result of the course I feel confident in tackling unfamiliar problem’, ‘my communication skills have improved’ and ‘staff are good at explaining things’ but are more satisfied with</w:t>
      </w:r>
      <w:r w:rsidR="003926C6" w:rsidRPr="00333BE4">
        <w:rPr>
          <w:rFonts w:asciiTheme="minorHAnsi" w:hAnsiTheme="minorHAnsi"/>
          <w:sz w:val="22"/>
          <w:szCs w:val="22"/>
        </w:rPr>
        <w:t xml:space="preserve"> the Students’ Union. (Figure 4a</w:t>
      </w:r>
      <w:r w:rsidRPr="00333BE4">
        <w:rPr>
          <w:rFonts w:asciiTheme="minorHAnsi" w:hAnsiTheme="minorHAnsi"/>
          <w:sz w:val="22"/>
          <w:szCs w:val="22"/>
        </w:rPr>
        <w:t xml:space="preserve">). </w:t>
      </w:r>
    </w:p>
    <w:p w14:paraId="13222694" w14:textId="77777777" w:rsidR="001A68ED" w:rsidRPr="00333BE4" w:rsidRDefault="001A68ED" w:rsidP="00DC3831">
      <w:pPr>
        <w:jc w:val="both"/>
        <w:rPr>
          <w:rFonts w:asciiTheme="minorHAnsi" w:hAnsiTheme="minorHAnsi"/>
          <w:sz w:val="22"/>
          <w:szCs w:val="22"/>
        </w:rPr>
      </w:pPr>
    </w:p>
    <w:p w14:paraId="2CAF7266" w14:textId="7FF5F2FA" w:rsidR="00256CD9" w:rsidRPr="00333BE4" w:rsidRDefault="00256CD9" w:rsidP="009624DB">
      <w:pPr>
        <w:ind w:left="720"/>
        <w:jc w:val="both"/>
        <w:rPr>
          <w:rFonts w:asciiTheme="minorHAnsi" w:hAnsiTheme="minorHAnsi"/>
          <w:sz w:val="22"/>
          <w:szCs w:val="22"/>
        </w:rPr>
      </w:pPr>
      <w:r w:rsidRPr="00333BE4">
        <w:rPr>
          <w:rFonts w:asciiTheme="minorHAnsi" w:hAnsiTheme="minorHAnsi"/>
          <w:sz w:val="22"/>
          <w:szCs w:val="22"/>
        </w:rPr>
        <w:t>Overall, females were more satisfied than males, with 86% stating overall satisfaction compared with 80% of males.  Female versus male satisfaction swung different ways depending on the question.  Males were less satisfied that any changes in the course or teaching have been communicated effectively and that ‘assessment arrangements and marking have been fair’ but more satisfied that ‘staff are good a</w:t>
      </w:r>
      <w:r w:rsidR="003926C6" w:rsidRPr="00333BE4">
        <w:rPr>
          <w:rFonts w:asciiTheme="minorHAnsi" w:hAnsiTheme="minorHAnsi"/>
          <w:sz w:val="22"/>
          <w:szCs w:val="22"/>
        </w:rPr>
        <w:t>t explaining things’. (Figure 4c</w:t>
      </w:r>
      <w:r w:rsidRPr="00333BE4">
        <w:rPr>
          <w:rFonts w:asciiTheme="minorHAnsi" w:hAnsiTheme="minorHAnsi"/>
          <w:sz w:val="22"/>
          <w:szCs w:val="22"/>
        </w:rPr>
        <w:t>).</w:t>
      </w:r>
    </w:p>
    <w:p w14:paraId="61C47BA9" w14:textId="2E48F6D9" w:rsidR="00256CD9" w:rsidRPr="00333BE4" w:rsidRDefault="00256CD9" w:rsidP="009624DB">
      <w:pPr>
        <w:ind w:left="720"/>
        <w:jc w:val="both"/>
        <w:rPr>
          <w:rFonts w:asciiTheme="minorHAnsi" w:hAnsiTheme="minorHAnsi"/>
          <w:b/>
          <w:sz w:val="22"/>
          <w:szCs w:val="22"/>
        </w:rPr>
      </w:pPr>
    </w:p>
    <w:p w14:paraId="49C8DC9C" w14:textId="2C85EF22" w:rsidR="00256CD9" w:rsidRPr="00333BE4" w:rsidRDefault="00256CD9" w:rsidP="009624DB">
      <w:pPr>
        <w:ind w:left="720"/>
        <w:jc w:val="both"/>
        <w:rPr>
          <w:rFonts w:asciiTheme="minorHAnsi" w:hAnsiTheme="minorHAnsi"/>
          <w:sz w:val="22"/>
          <w:szCs w:val="22"/>
        </w:rPr>
      </w:pPr>
      <w:r w:rsidRPr="00333BE4">
        <w:rPr>
          <w:rFonts w:asciiTheme="minorHAnsi" w:hAnsiTheme="minorHAnsi"/>
          <w:sz w:val="22"/>
          <w:szCs w:val="22"/>
        </w:rPr>
        <w:t>89% of mature students agreed that overall they were satisfied with their institution, compared with 83% of young students.  A larger proportion of mature students responded positively to 18 of the 23 questions.  The biggest difference by age between responses was for the course is well organised and running smoothly (85% mature compared with 66% young) followed by ‘any changes in the course or teaching have been communicated effectively’ (83% mature agree comp</w:t>
      </w:r>
      <w:r w:rsidR="004C166E" w:rsidRPr="00333BE4">
        <w:rPr>
          <w:rFonts w:asciiTheme="minorHAnsi" w:hAnsiTheme="minorHAnsi"/>
          <w:sz w:val="22"/>
          <w:szCs w:val="22"/>
        </w:rPr>
        <w:t>ared with 71% young). (Figure 4d</w:t>
      </w:r>
      <w:r w:rsidRPr="00333BE4">
        <w:rPr>
          <w:rFonts w:asciiTheme="minorHAnsi" w:hAnsiTheme="minorHAnsi"/>
          <w:sz w:val="22"/>
          <w:szCs w:val="22"/>
        </w:rPr>
        <w:t>).</w:t>
      </w:r>
    </w:p>
    <w:p w14:paraId="39C41AD3" w14:textId="4BA8346D" w:rsidR="00256CD9" w:rsidRPr="00333BE4" w:rsidRDefault="00256CD9" w:rsidP="009624DB">
      <w:pPr>
        <w:ind w:left="720"/>
        <w:jc w:val="both"/>
        <w:rPr>
          <w:rFonts w:asciiTheme="minorHAnsi" w:hAnsiTheme="minorHAnsi"/>
          <w:b/>
          <w:sz w:val="22"/>
          <w:szCs w:val="22"/>
        </w:rPr>
      </w:pPr>
    </w:p>
    <w:p w14:paraId="3345D570" w14:textId="47F863AC" w:rsidR="00256CD9" w:rsidRPr="00333BE4" w:rsidRDefault="00256CD9" w:rsidP="009624DB">
      <w:pPr>
        <w:ind w:left="720"/>
        <w:jc w:val="both"/>
        <w:rPr>
          <w:rFonts w:asciiTheme="minorHAnsi" w:hAnsiTheme="minorHAnsi"/>
          <w:sz w:val="22"/>
          <w:szCs w:val="22"/>
        </w:rPr>
      </w:pPr>
      <w:r w:rsidRPr="00333BE4">
        <w:rPr>
          <w:rFonts w:asciiTheme="minorHAnsi" w:hAnsiTheme="minorHAnsi"/>
          <w:sz w:val="22"/>
          <w:szCs w:val="22"/>
        </w:rPr>
        <w:t>The largest differences in response by ethnicity related to the library (55% non-white satisfaction compared with 73% white) the Students’ Union (50% non-white satisfaction compared with 67%) and being able to contact staff when needed (67% non-white satisfaction compared with 83% white). Non-white students were more satisfied that the course is intellectually stimulating (95% non-white compared with 83% white) and that staff are enthusiastic about what they are teaching (100% non-white comp</w:t>
      </w:r>
      <w:r w:rsidR="004C166E" w:rsidRPr="00333BE4">
        <w:rPr>
          <w:rFonts w:asciiTheme="minorHAnsi" w:hAnsiTheme="minorHAnsi"/>
          <w:sz w:val="22"/>
          <w:szCs w:val="22"/>
        </w:rPr>
        <w:t>ared with 90% white). (Figure 4b</w:t>
      </w:r>
      <w:r w:rsidRPr="00333BE4">
        <w:rPr>
          <w:rFonts w:asciiTheme="minorHAnsi" w:hAnsiTheme="minorHAnsi"/>
          <w:sz w:val="22"/>
          <w:szCs w:val="22"/>
        </w:rPr>
        <w:t>).</w:t>
      </w:r>
    </w:p>
    <w:p w14:paraId="23F0CF5C" w14:textId="77777777" w:rsidR="00256CD9" w:rsidRPr="00333BE4" w:rsidRDefault="00256CD9" w:rsidP="003A6B0F">
      <w:pPr>
        <w:rPr>
          <w:rFonts w:asciiTheme="minorHAnsi" w:hAnsiTheme="minorHAnsi"/>
          <w:b/>
          <w:sz w:val="22"/>
          <w:szCs w:val="22"/>
        </w:rPr>
      </w:pPr>
    </w:p>
    <w:p w14:paraId="10933A61" w14:textId="77777777" w:rsidR="003926C6" w:rsidRPr="00333BE4" w:rsidRDefault="003926C6" w:rsidP="00256CD9">
      <w:pPr>
        <w:rPr>
          <w:rFonts w:asciiTheme="minorHAnsi" w:hAnsiTheme="minorHAnsi"/>
          <w:b/>
          <w:sz w:val="22"/>
          <w:szCs w:val="22"/>
        </w:rPr>
      </w:pPr>
    </w:p>
    <w:p w14:paraId="7B335DEC" w14:textId="77777777" w:rsidR="003926C6" w:rsidRPr="00333BE4" w:rsidRDefault="003926C6" w:rsidP="00256CD9">
      <w:pPr>
        <w:rPr>
          <w:rFonts w:asciiTheme="minorHAnsi" w:hAnsiTheme="minorHAnsi"/>
          <w:b/>
          <w:sz w:val="22"/>
          <w:szCs w:val="22"/>
        </w:rPr>
      </w:pPr>
    </w:p>
    <w:p w14:paraId="7CA719E5" w14:textId="77777777" w:rsidR="003926C6" w:rsidRPr="00333BE4" w:rsidRDefault="003926C6" w:rsidP="00256CD9">
      <w:pPr>
        <w:rPr>
          <w:rFonts w:asciiTheme="minorHAnsi" w:hAnsiTheme="minorHAnsi"/>
          <w:b/>
          <w:sz w:val="22"/>
          <w:szCs w:val="22"/>
        </w:rPr>
      </w:pPr>
    </w:p>
    <w:p w14:paraId="31996D70" w14:textId="77777777" w:rsidR="003926C6" w:rsidRPr="00333BE4" w:rsidRDefault="003926C6" w:rsidP="00256CD9">
      <w:pPr>
        <w:rPr>
          <w:rFonts w:asciiTheme="minorHAnsi" w:hAnsiTheme="minorHAnsi"/>
          <w:b/>
          <w:sz w:val="22"/>
          <w:szCs w:val="22"/>
        </w:rPr>
      </w:pPr>
    </w:p>
    <w:p w14:paraId="66083648" w14:textId="77777777" w:rsidR="003926C6" w:rsidRPr="00333BE4" w:rsidRDefault="003926C6" w:rsidP="00256CD9">
      <w:pPr>
        <w:rPr>
          <w:rFonts w:asciiTheme="minorHAnsi" w:hAnsiTheme="minorHAnsi"/>
          <w:b/>
          <w:sz w:val="22"/>
          <w:szCs w:val="22"/>
        </w:rPr>
      </w:pPr>
    </w:p>
    <w:p w14:paraId="641744C4" w14:textId="77777777" w:rsidR="003926C6" w:rsidRPr="00333BE4" w:rsidRDefault="003926C6" w:rsidP="00256CD9">
      <w:pPr>
        <w:rPr>
          <w:rFonts w:asciiTheme="minorHAnsi" w:hAnsiTheme="minorHAnsi"/>
          <w:b/>
          <w:sz w:val="22"/>
          <w:szCs w:val="22"/>
        </w:rPr>
      </w:pPr>
    </w:p>
    <w:p w14:paraId="6BB60085" w14:textId="77777777" w:rsidR="003926C6" w:rsidRPr="00333BE4" w:rsidRDefault="003926C6" w:rsidP="00256CD9">
      <w:pPr>
        <w:rPr>
          <w:rFonts w:asciiTheme="minorHAnsi" w:hAnsiTheme="minorHAnsi"/>
          <w:b/>
          <w:sz w:val="22"/>
          <w:szCs w:val="22"/>
        </w:rPr>
      </w:pPr>
    </w:p>
    <w:p w14:paraId="403EEF0B" w14:textId="77777777" w:rsidR="003926C6" w:rsidRPr="00333BE4" w:rsidRDefault="003926C6" w:rsidP="00256CD9">
      <w:pPr>
        <w:rPr>
          <w:rFonts w:asciiTheme="minorHAnsi" w:hAnsiTheme="minorHAnsi"/>
          <w:b/>
          <w:sz w:val="22"/>
          <w:szCs w:val="22"/>
        </w:rPr>
      </w:pPr>
    </w:p>
    <w:p w14:paraId="4965553C" w14:textId="77777777" w:rsidR="003926C6" w:rsidRPr="00333BE4" w:rsidRDefault="003926C6" w:rsidP="00256CD9">
      <w:pPr>
        <w:rPr>
          <w:rFonts w:asciiTheme="minorHAnsi" w:hAnsiTheme="minorHAnsi"/>
          <w:b/>
          <w:sz w:val="22"/>
          <w:szCs w:val="22"/>
        </w:rPr>
      </w:pPr>
    </w:p>
    <w:p w14:paraId="4F83A946" w14:textId="77777777" w:rsidR="003926C6" w:rsidRPr="00333BE4" w:rsidRDefault="003926C6" w:rsidP="00256CD9">
      <w:pPr>
        <w:rPr>
          <w:rFonts w:asciiTheme="minorHAnsi" w:hAnsiTheme="minorHAnsi"/>
          <w:b/>
          <w:sz w:val="22"/>
          <w:szCs w:val="22"/>
        </w:rPr>
      </w:pPr>
    </w:p>
    <w:p w14:paraId="0901D167" w14:textId="77777777" w:rsidR="003926C6" w:rsidRPr="00333BE4" w:rsidRDefault="003926C6" w:rsidP="00256CD9">
      <w:pPr>
        <w:rPr>
          <w:rFonts w:asciiTheme="minorHAnsi" w:hAnsiTheme="minorHAnsi"/>
          <w:b/>
          <w:sz w:val="22"/>
          <w:szCs w:val="22"/>
        </w:rPr>
      </w:pPr>
    </w:p>
    <w:p w14:paraId="25CB1045" w14:textId="77777777" w:rsidR="003926C6" w:rsidRPr="00333BE4" w:rsidRDefault="003926C6" w:rsidP="00256CD9">
      <w:pPr>
        <w:rPr>
          <w:rFonts w:asciiTheme="minorHAnsi" w:hAnsiTheme="minorHAnsi"/>
          <w:b/>
          <w:sz w:val="22"/>
          <w:szCs w:val="22"/>
        </w:rPr>
      </w:pPr>
    </w:p>
    <w:p w14:paraId="4190358B" w14:textId="77777777" w:rsidR="003926C6" w:rsidRPr="00333BE4" w:rsidRDefault="003926C6" w:rsidP="00256CD9">
      <w:pPr>
        <w:rPr>
          <w:rFonts w:asciiTheme="minorHAnsi" w:hAnsiTheme="minorHAnsi"/>
          <w:b/>
          <w:sz w:val="22"/>
          <w:szCs w:val="22"/>
        </w:rPr>
      </w:pPr>
    </w:p>
    <w:p w14:paraId="5462FE3F" w14:textId="77777777" w:rsidR="003926C6" w:rsidRPr="00333BE4" w:rsidRDefault="003926C6" w:rsidP="00256CD9">
      <w:pPr>
        <w:rPr>
          <w:rFonts w:asciiTheme="minorHAnsi" w:hAnsiTheme="minorHAnsi"/>
          <w:b/>
          <w:sz w:val="22"/>
          <w:szCs w:val="22"/>
        </w:rPr>
      </w:pPr>
    </w:p>
    <w:p w14:paraId="74C08E2D" w14:textId="77777777" w:rsidR="003926C6" w:rsidRPr="00333BE4" w:rsidRDefault="003926C6" w:rsidP="00256CD9">
      <w:pPr>
        <w:rPr>
          <w:rFonts w:asciiTheme="minorHAnsi" w:hAnsiTheme="minorHAnsi"/>
          <w:b/>
          <w:sz w:val="22"/>
          <w:szCs w:val="22"/>
        </w:rPr>
      </w:pPr>
    </w:p>
    <w:p w14:paraId="643BDEB0" w14:textId="19774B5F" w:rsidR="00256CD9" w:rsidRPr="00333BE4" w:rsidRDefault="001A68ED" w:rsidP="00256CD9">
      <w:pPr>
        <w:rPr>
          <w:rFonts w:asciiTheme="minorHAnsi" w:hAnsiTheme="minorHAnsi"/>
          <w:b/>
          <w:sz w:val="22"/>
          <w:szCs w:val="22"/>
        </w:rPr>
      </w:pPr>
      <w:r w:rsidRPr="00333BE4">
        <w:rPr>
          <w:rFonts w:asciiTheme="minorHAnsi" w:hAnsiTheme="minorHAnsi"/>
          <w:b/>
          <w:sz w:val="22"/>
          <w:szCs w:val="22"/>
        </w:rPr>
        <w:t>Figure 4a</w:t>
      </w:r>
      <w:r w:rsidR="003926C6" w:rsidRPr="00333BE4">
        <w:rPr>
          <w:rFonts w:asciiTheme="minorHAnsi" w:hAnsiTheme="minorHAnsi"/>
          <w:b/>
          <w:sz w:val="22"/>
          <w:szCs w:val="22"/>
        </w:rPr>
        <w:t>: Student satisfaction by disability, 2015</w:t>
      </w:r>
    </w:p>
    <w:p w14:paraId="67DAF62E" w14:textId="77777777" w:rsidR="00256CD9" w:rsidRPr="00333BE4" w:rsidRDefault="00256CD9" w:rsidP="003926C6">
      <w:pPr>
        <w:rPr>
          <w:rFonts w:asciiTheme="minorHAnsi" w:hAnsiTheme="minorHAnsi"/>
          <w:b/>
          <w:sz w:val="22"/>
          <w:szCs w:val="22"/>
        </w:rPr>
      </w:pPr>
      <w:r w:rsidRPr="00333BE4">
        <w:rPr>
          <w:rFonts w:asciiTheme="minorHAnsi" w:hAnsiTheme="minorHAnsi"/>
          <w:b/>
          <w:noProof/>
          <w:sz w:val="22"/>
          <w:szCs w:val="22"/>
        </w:rPr>
        <w:lastRenderedPageBreak/>
        <w:drawing>
          <wp:inline distT="0" distB="0" distL="0" distR="0" wp14:anchorId="4530CE21" wp14:editId="3DE9E726">
            <wp:extent cx="6438899" cy="4705350"/>
            <wp:effectExtent l="0" t="0" r="635"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44228" cy="4709244"/>
                    </a:xfrm>
                    <a:prstGeom prst="rect">
                      <a:avLst/>
                    </a:prstGeom>
                    <a:noFill/>
                  </pic:spPr>
                </pic:pic>
              </a:graphicData>
            </a:graphic>
          </wp:inline>
        </w:drawing>
      </w:r>
    </w:p>
    <w:p w14:paraId="10945320" w14:textId="77777777" w:rsidR="003926C6" w:rsidRPr="00333BE4" w:rsidRDefault="003926C6" w:rsidP="00256CD9">
      <w:pPr>
        <w:rPr>
          <w:rFonts w:asciiTheme="minorHAnsi" w:hAnsiTheme="minorHAnsi"/>
          <w:b/>
          <w:sz w:val="22"/>
          <w:szCs w:val="22"/>
        </w:rPr>
      </w:pPr>
    </w:p>
    <w:p w14:paraId="292B8835" w14:textId="77777777" w:rsidR="004035CD" w:rsidRDefault="004035CD" w:rsidP="00256CD9">
      <w:pPr>
        <w:rPr>
          <w:rFonts w:asciiTheme="minorHAnsi" w:hAnsiTheme="minorHAnsi"/>
          <w:b/>
          <w:sz w:val="22"/>
          <w:szCs w:val="22"/>
        </w:rPr>
      </w:pPr>
    </w:p>
    <w:p w14:paraId="172A67EC" w14:textId="214B3393" w:rsidR="000D6B81" w:rsidRDefault="000D6B81" w:rsidP="00256CD9">
      <w:pPr>
        <w:rPr>
          <w:rFonts w:asciiTheme="minorHAnsi" w:hAnsiTheme="minorHAnsi"/>
          <w:b/>
          <w:sz w:val="22"/>
          <w:szCs w:val="22"/>
        </w:rPr>
      </w:pPr>
      <w:r>
        <w:rPr>
          <w:rFonts w:asciiTheme="minorHAnsi" w:hAnsiTheme="minorHAnsi"/>
          <w:b/>
          <w:sz w:val="22"/>
          <w:szCs w:val="22"/>
        </w:rPr>
        <w:br w:type="page"/>
      </w:r>
    </w:p>
    <w:p w14:paraId="5623204C" w14:textId="73551E57" w:rsidR="00256CD9" w:rsidRPr="00333BE4" w:rsidRDefault="00256CD9" w:rsidP="00256CD9">
      <w:pPr>
        <w:rPr>
          <w:rFonts w:asciiTheme="minorHAnsi" w:hAnsiTheme="minorHAnsi"/>
          <w:b/>
          <w:sz w:val="22"/>
          <w:szCs w:val="22"/>
        </w:rPr>
      </w:pPr>
      <w:r w:rsidRPr="00333BE4">
        <w:rPr>
          <w:rFonts w:asciiTheme="minorHAnsi" w:hAnsiTheme="minorHAnsi"/>
          <w:b/>
          <w:sz w:val="22"/>
          <w:szCs w:val="22"/>
        </w:rPr>
        <w:lastRenderedPageBreak/>
        <w:t>Fig</w:t>
      </w:r>
      <w:r w:rsidR="001A68ED" w:rsidRPr="00333BE4">
        <w:rPr>
          <w:rFonts w:asciiTheme="minorHAnsi" w:hAnsiTheme="minorHAnsi"/>
          <w:b/>
          <w:sz w:val="22"/>
          <w:szCs w:val="22"/>
        </w:rPr>
        <w:t xml:space="preserve">ure </w:t>
      </w:r>
      <w:r w:rsidRPr="00333BE4">
        <w:rPr>
          <w:rFonts w:asciiTheme="minorHAnsi" w:hAnsiTheme="minorHAnsi"/>
          <w:b/>
          <w:sz w:val="22"/>
          <w:szCs w:val="22"/>
        </w:rPr>
        <w:t>4</w:t>
      </w:r>
      <w:r w:rsidR="001A68ED" w:rsidRPr="00333BE4">
        <w:rPr>
          <w:rFonts w:asciiTheme="minorHAnsi" w:hAnsiTheme="minorHAnsi"/>
          <w:b/>
          <w:sz w:val="22"/>
          <w:szCs w:val="22"/>
        </w:rPr>
        <w:t>b</w:t>
      </w:r>
      <w:r w:rsidR="003926C6" w:rsidRPr="00333BE4">
        <w:rPr>
          <w:rFonts w:asciiTheme="minorHAnsi" w:hAnsiTheme="minorHAnsi"/>
          <w:b/>
          <w:sz w:val="22"/>
          <w:szCs w:val="22"/>
        </w:rPr>
        <w:t>: Student satisfaction by ethnicity, 2015</w:t>
      </w:r>
    </w:p>
    <w:p w14:paraId="1C9AD86E" w14:textId="77777777" w:rsidR="00256CD9" w:rsidRPr="00333BE4" w:rsidRDefault="00256CD9" w:rsidP="00256CD9">
      <w:pPr>
        <w:rPr>
          <w:rFonts w:asciiTheme="minorHAnsi" w:hAnsiTheme="minorHAnsi"/>
          <w:sz w:val="22"/>
          <w:szCs w:val="22"/>
        </w:rPr>
      </w:pPr>
      <w:r w:rsidRPr="00333BE4">
        <w:rPr>
          <w:rFonts w:asciiTheme="minorHAnsi" w:hAnsiTheme="minorHAnsi"/>
          <w:noProof/>
          <w:sz w:val="22"/>
          <w:szCs w:val="22"/>
        </w:rPr>
        <w:drawing>
          <wp:inline distT="0" distB="0" distL="0" distR="0" wp14:anchorId="1FF3ED4C" wp14:editId="05D83B67">
            <wp:extent cx="6427427" cy="4201064"/>
            <wp:effectExtent l="0" t="0" r="0" b="952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27427" cy="4201064"/>
                    </a:xfrm>
                    <a:prstGeom prst="rect">
                      <a:avLst/>
                    </a:prstGeom>
                    <a:noFill/>
                  </pic:spPr>
                </pic:pic>
              </a:graphicData>
            </a:graphic>
          </wp:inline>
        </w:drawing>
      </w:r>
    </w:p>
    <w:p w14:paraId="3C499C7E" w14:textId="2617ADC0" w:rsidR="00256CD9" w:rsidRPr="00333BE4" w:rsidRDefault="001A68ED" w:rsidP="00256CD9">
      <w:pPr>
        <w:rPr>
          <w:rFonts w:asciiTheme="minorHAnsi" w:hAnsiTheme="minorHAnsi"/>
          <w:b/>
          <w:sz w:val="22"/>
          <w:szCs w:val="22"/>
        </w:rPr>
      </w:pPr>
      <w:r w:rsidRPr="00333BE4">
        <w:rPr>
          <w:rFonts w:asciiTheme="minorHAnsi" w:hAnsiTheme="minorHAnsi"/>
          <w:b/>
          <w:sz w:val="22"/>
          <w:szCs w:val="22"/>
        </w:rPr>
        <w:t>Figure 4c</w:t>
      </w:r>
      <w:r w:rsidR="003926C6" w:rsidRPr="00333BE4">
        <w:rPr>
          <w:rFonts w:asciiTheme="minorHAnsi" w:hAnsiTheme="minorHAnsi"/>
          <w:b/>
          <w:sz w:val="22"/>
          <w:szCs w:val="22"/>
        </w:rPr>
        <w:t>: Student satisfaction by gender, 2015</w:t>
      </w:r>
    </w:p>
    <w:p w14:paraId="6F056942" w14:textId="77777777" w:rsidR="00256CD9" w:rsidRPr="00333BE4" w:rsidRDefault="00256CD9" w:rsidP="00256CD9">
      <w:pPr>
        <w:rPr>
          <w:rFonts w:asciiTheme="minorHAnsi" w:hAnsiTheme="minorHAnsi"/>
          <w:sz w:val="22"/>
          <w:szCs w:val="22"/>
        </w:rPr>
      </w:pPr>
      <w:r w:rsidRPr="00333BE4">
        <w:rPr>
          <w:rFonts w:asciiTheme="minorHAnsi" w:hAnsiTheme="minorHAnsi"/>
          <w:noProof/>
          <w:sz w:val="22"/>
          <w:szCs w:val="22"/>
        </w:rPr>
        <w:drawing>
          <wp:inline distT="0" distB="0" distL="0" distR="0" wp14:anchorId="0733FC99" wp14:editId="706E25B6">
            <wp:extent cx="6546208" cy="4278702"/>
            <wp:effectExtent l="0" t="0" r="7620" b="762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54261" cy="4283965"/>
                    </a:xfrm>
                    <a:prstGeom prst="rect">
                      <a:avLst/>
                    </a:prstGeom>
                    <a:noFill/>
                  </pic:spPr>
                </pic:pic>
              </a:graphicData>
            </a:graphic>
          </wp:inline>
        </w:drawing>
      </w:r>
    </w:p>
    <w:p w14:paraId="497B0C51" w14:textId="77777777" w:rsidR="003926C6" w:rsidRPr="00333BE4" w:rsidRDefault="003926C6" w:rsidP="00256CD9">
      <w:pPr>
        <w:rPr>
          <w:rFonts w:asciiTheme="minorHAnsi" w:hAnsiTheme="minorHAnsi"/>
          <w:b/>
          <w:sz w:val="22"/>
          <w:szCs w:val="22"/>
        </w:rPr>
      </w:pPr>
    </w:p>
    <w:p w14:paraId="3DA400DD" w14:textId="03FB158F" w:rsidR="00256CD9" w:rsidRPr="00333BE4" w:rsidRDefault="001A68ED" w:rsidP="00256CD9">
      <w:pPr>
        <w:rPr>
          <w:rFonts w:asciiTheme="minorHAnsi" w:hAnsiTheme="minorHAnsi"/>
          <w:b/>
          <w:sz w:val="22"/>
          <w:szCs w:val="22"/>
        </w:rPr>
      </w:pPr>
      <w:r w:rsidRPr="00333BE4">
        <w:rPr>
          <w:rFonts w:asciiTheme="minorHAnsi" w:hAnsiTheme="minorHAnsi"/>
          <w:b/>
          <w:sz w:val="22"/>
          <w:szCs w:val="22"/>
        </w:rPr>
        <w:t>Figure 4d</w:t>
      </w:r>
      <w:r w:rsidR="003926C6" w:rsidRPr="00333BE4">
        <w:rPr>
          <w:rFonts w:asciiTheme="minorHAnsi" w:hAnsiTheme="minorHAnsi"/>
          <w:b/>
          <w:sz w:val="22"/>
          <w:szCs w:val="22"/>
        </w:rPr>
        <w:t>: Student satisfaction by age, 2015</w:t>
      </w:r>
    </w:p>
    <w:p w14:paraId="57C1E9BD" w14:textId="77777777" w:rsidR="00256CD9" w:rsidRPr="00333BE4" w:rsidRDefault="00256CD9" w:rsidP="000D6B81">
      <w:pPr>
        <w:tabs>
          <w:tab w:val="left" w:pos="10206"/>
        </w:tabs>
        <w:rPr>
          <w:rFonts w:asciiTheme="minorHAnsi" w:hAnsiTheme="minorHAnsi"/>
          <w:sz w:val="22"/>
          <w:szCs w:val="22"/>
        </w:rPr>
      </w:pPr>
      <w:r w:rsidRPr="00333BE4">
        <w:rPr>
          <w:rFonts w:asciiTheme="minorHAnsi" w:hAnsiTheme="minorHAnsi"/>
          <w:noProof/>
          <w:sz w:val="22"/>
          <w:szCs w:val="22"/>
        </w:rPr>
        <w:drawing>
          <wp:inline distT="0" distB="0" distL="0" distR="0" wp14:anchorId="4CA9B6CB" wp14:editId="25D6775E">
            <wp:extent cx="6547449" cy="4279511"/>
            <wp:effectExtent l="0" t="0" r="6350" b="698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61998" cy="4289020"/>
                    </a:xfrm>
                    <a:prstGeom prst="rect">
                      <a:avLst/>
                    </a:prstGeom>
                    <a:noFill/>
                  </pic:spPr>
                </pic:pic>
              </a:graphicData>
            </a:graphic>
          </wp:inline>
        </w:drawing>
      </w:r>
    </w:p>
    <w:p w14:paraId="49BFF58C" w14:textId="77777777" w:rsidR="00256CD9" w:rsidRPr="00333BE4" w:rsidRDefault="00256CD9" w:rsidP="003A6B0F">
      <w:pPr>
        <w:rPr>
          <w:rFonts w:asciiTheme="minorHAnsi" w:hAnsiTheme="minorHAnsi"/>
          <w:b/>
          <w:sz w:val="22"/>
          <w:szCs w:val="22"/>
        </w:rPr>
      </w:pPr>
    </w:p>
    <w:p w14:paraId="244F5790" w14:textId="77777777" w:rsidR="007C48D5" w:rsidRPr="00333BE4" w:rsidRDefault="007C48D5" w:rsidP="003A6B0F">
      <w:pPr>
        <w:rPr>
          <w:rFonts w:asciiTheme="minorHAnsi" w:hAnsiTheme="minorHAnsi"/>
          <w:b/>
          <w:sz w:val="22"/>
          <w:szCs w:val="22"/>
        </w:rPr>
      </w:pPr>
    </w:p>
    <w:p w14:paraId="184F3E49" w14:textId="7B9E8C52" w:rsidR="007E6A0A" w:rsidRDefault="007C48D5" w:rsidP="003A6B0F">
      <w:pPr>
        <w:rPr>
          <w:rFonts w:asciiTheme="minorHAnsi" w:hAnsiTheme="minorHAnsi"/>
          <w:b/>
          <w:sz w:val="22"/>
          <w:szCs w:val="22"/>
        </w:rPr>
      </w:pPr>
      <w:r w:rsidRPr="00333BE4">
        <w:rPr>
          <w:rFonts w:asciiTheme="minorHAnsi" w:hAnsiTheme="minorHAnsi"/>
          <w:b/>
          <w:sz w:val="22"/>
          <w:szCs w:val="22"/>
        </w:rPr>
        <w:t>Student destinations</w:t>
      </w:r>
    </w:p>
    <w:p w14:paraId="7C70E41E" w14:textId="77777777" w:rsidR="00BB26AC" w:rsidRPr="00333BE4" w:rsidRDefault="00BB26AC" w:rsidP="003A6B0F">
      <w:pPr>
        <w:rPr>
          <w:rFonts w:asciiTheme="minorHAnsi" w:hAnsiTheme="minorHAnsi"/>
          <w:b/>
          <w:sz w:val="22"/>
          <w:szCs w:val="22"/>
        </w:rPr>
      </w:pPr>
    </w:p>
    <w:p w14:paraId="4453A062" w14:textId="1A78C566" w:rsidR="007E6A0A" w:rsidRPr="00333BE4" w:rsidRDefault="00696455" w:rsidP="004035CD">
      <w:pPr>
        <w:ind w:left="720"/>
        <w:jc w:val="both"/>
        <w:rPr>
          <w:rFonts w:asciiTheme="minorHAnsi" w:hAnsiTheme="minorHAnsi"/>
          <w:sz w:val="22"/>
          <w:szCs w:val="22"/>
          <w:lang w:val="en-US" w:eastAsia="ja-JP"/>
        </w:rPr>
      </w:pPr>
      <w:r w:rsidRPr="00333BE4">
        <w:rPr>
          <w:rFonts w:asciiTheme="minorHAnsi" w:hAnsiTheme="minorHAnsi"/>
          <w:sz w:val="22"/>
          <w:szCs w:val="22"/>
          <w:lang w:val="en-US" w:eastAsia="ja-JP"/>
        </w:rPr>
        <w:t>Resu</w:t>
      </w:r>
      <w:r w:rsidR="005010AC" w:rsidRPr="00333BE4">
        <w:rPr>
          <w:rFonts w:asciiTheme="minorHAnsi" w:hAnsiTheme="minorHAnsi"/>
          <w:sz w:val="22"/>
          <w:szCs w:val="22"/>
          <w:lang w:val="en-US" w:eastAsia="ja-JP"/>
        </w:rPr>
        <w:t>lts f</w:t>
      </w:r>
      <w:r w:rsidRPr="00333BE4">
        <w:rPr>
          <w:rFonts w:asciiTheme="minorHAnsi" w:hAnsiTheme="minorHAnsi"/>
          <w:sz w:val="22"/>
          <w:szCs w:val="22"/>
          <w:lang w:val="en-US" w:eastAsia="ja-JP"/>
        </w:rPr>
        <w:t>r</w:t>
      </w:r>
      <w:r w:rsidR="005010AC" w:rsidRPr="00333BE4">
        <w:rPr>
          <w:rFonts w:asciiTheme="minorHAnsi" w:hAnsiTheme="minorHAnsi"/>
          <w:sz w:val="22"/>
          <w:szCs w:val="22"/>
          <w:lang w:val="en-US" w:eastAsia="ja-JP"/>
        </w:rPr>
        <w:t>om the Destinations of Leavers from Higher Education Survey 2013/14 show that a</w:t>
      </w:r>
      <w:r w:rsidR="007E6A0A" w:rsidRPr="00333BE4">
        <w:rPr>
          <w:rFonts w:asciiTheme="minorHAnsi" w:hAnsiTheme="minorHAnsi"/>
          <w:sz w:val="22"/>
          <w:szCs w:val="22"/>
          <w:lang w:val="en-US" w:eastAsia="ja-JP"/>
        </w:rPr>
        <w:t xml:space="preserve"> higher proportion of males than females were in full time work (71% against 61%)</w:t>
      </w:r>
      <w:r w:rsidR="005010AC" w:rsidRPr="00333BE4">
        <w:rPr>
          <w:rFonts w:asciiTheme="minorHAnsi" w:hAnsiTheme="minorHAnsi"/>
          <w:sz w:val="22"/>
          <w:szCs w:val="22"/>
          <w:lang w:val="en-US" w:eastAsia="ja-JP"/>
        </w:rPr>
        <w:t>,</w:t>
      </w:r>
      <w:r w:rsidR="007E6A0A" w:rsidRPr="00333BE4">
        <w:rPr>
          <w:rFonts w:asciiTheme="minorHAnsi" w:hAnsiTheme="minorHAnsi"/>
          <w:sz w:val="22"/>
          <w:szCs w:val="22"/>
          <w:lang w:val="en-US" w:eastAsia="ja-JP"/>
        </w:rPr>
        <w:t xml:space="preserve"> although this difference is diminished once those who were primarily working but also studying are </w:t>
      </w:r>
      <w:r w:rsidR="005010AC" w:rsidRPr="00333BE4">
        <w:rPr>
          <w:rFonts w:asciiTheme="minorHAnsi" w:hAnsiTheme="minorHAnsi"/>
          <w:sz w:val="22"/>
          <w:szCs w:val="22"/>
          <w:lang w:val="en-US" w:eastAsia="ja-JP"/>
        </w:rPr>
        <w:t>included</w:t>
      </w:r>
      <w:r w:rsidR="007E6A0A" w:rsidRPr="00333BE4">
        <w:rPr>
          <w:rFonts w:asciiTheme="minorHAnsi" w:hAnsiTheme="minorHAnsi"/>
          <w:sz w:val="22"/>
          <w:szCs w:val="22"/>
          <w:lang w:val="en-US" w:eastAsia="ja-JP"/>
        </w:rPr>
        <w:t xml:space="preserve">.  A slightly higher proportion of females than males (11% against 7%)were engaged in full-time study 6 months after graduating, reflecting the high number of Foundation degree students, primarily females, who go onto complete Top-up degrees. (Figure </w:t>
      </w:r>
      <w:r w:rsidR="005010AC" w:rsidRPr="00333BE4">
        <w:rPr>
          <w:rFonts w:asciiTheme="minorHAnsi" w:hAnsiTheme="minorHAnsi"/>
          <w:sz w:val="22"/>
          <w:szCs w:val="22"/>
          <w:lang w:val="en-US" w:eastAsia="ja-JP"/>
        </w:rPr>
        <w:t>5a</w:t>
      </w:r>
      <w:r w:rsidR="007E6A0A" w:rsidRPr="00333BE4">
        <w:rPr>
          <w:rFonts w:asciiTheme="minorHAnsi" w:hAnsiTheme="minorHAnsi"/>
          <w:sz w:val="22"/>
          <w:szCs w:val="22"/>
          <w:lang w:val="en-US" w:eastAsia="ja-JP"/>
        </w:rPr>
        <w:t>).</w:t>
      </w:r>
    </w:p>
    <w:p w14:paraId="573CA458" w14:textId="77777777" w:rsidR="007E6A0A" w:rsidRPr="00333BE4" w:rsidRDefault="007E6A0A" w:rsidP="001A68ED">
      <w:pPr>
        <w:jc w:val="both"/>
        <w:rPr>
          <w:rFonts w:asciiTheme="minorHAnsi" w:hAnsiTheme="minorHAnsi"/>
          <w:sz w:val="22"/>
          <w:szCs w:val="22"/>
          <w:lang w:val="en-US" w:eastAsia="ja-JP"/>
        </w:rPr>
      </w:pPr>
    </w:p>
    <w:p w14:paraId="07BDB503" w14:textId="77777777" w:rsidR="009D709A" w:rsidRDefault="009D709A" w:rsidP="001A68ED">
      <w:pPr>
        <w:jc w:val="both"/>
        <w:rPr>
          <w:rFonts w:asciiTheme="minorHAnsi" w:hAnsiTheme="minorHAnsi"/>
          <w:b/>
          <w:sz w:val="22"/>
          <w:szCs w:val="22"/>
          <w:lang w:val="en-US" w:eastAsia="ja-JP"/>
        </w:rPr>
      </w:pPr>
    </w:p>
    <w:p w14:paraId="3D7B954D" w14:textId="77777777" w:rsidR="009D709A" w:rsidRDefault="009D709A" w:rsidP="001A68ED">
      <w:pPr>
        <w:jc w:val="both"/>
        <w:rPr>
          <w:rFonts w:asciiTheme="minorHAnsi" w:hAnsiTheme="minorHAnsi"/>
          <w:b/>
          <w:sz w:val="22"/>
          <w:szCs w:val="22"/>
          <w:lang w:val="en-US" w:eastAsia="ja-JP"/>
        </w:rPr>
      </w:pPr>
    </w:p>
    <w:p w14:paraId="4BF5B28F" w14:textId="77777777" w:rsidR="009D709A" w:rsidRDefault="009D709A" w:rsidP="001A68ED">
      <w:pPr>
        <w:jc w:val="both"/>
        <w:rPr>
          <w:rFonts w:asciiTheme="minorHAnsi" w:hAnsiTheme="minorHAnsi"/>
          <w:b/>
          <w:sz w:val="22"/>
          <w:szCs w:val="22"/>
          <w:lang w:val="en-US" w:eastAsia="ja-JP"/>
        </w:rPr>
      </w:pPr>
    </w:p>
    <w:p w14:paraId="05604BCA" w14:textId="77777777" w:rsidR="009D709A" w:rsidRDefault="009D709A" w:rsidP="001A68ED">
      <w:pPr>
        <w:jc w:val="both"/>
        <w:rPr>
          <w:rFonts w:asciiTheme="minorHAnsi" w:hAnsiTheme="minorHAnsi"/>
          <w:b/>
          <w:sz w:val="22"/>
          <w:szCs w:val="22"/>
          <w:lang w:val="en-US" w:eastAsia="ja-JP"/>
        </w:rPr>
      </w:pPr>
    </w:p>
    <w:p w14:paraId="2D1BC8C8" w14:textId="77777777" w:rsidR="009D709A" w:rsidRDefault="009D709A" w:rsidP="001A68ED">
      <w:pPr>
        <w:jc w:val="both"/>
        <w:rPr>
          <w:rFonts w:asciiTheme="minorHAnsi" w:hAnsiTheme="minorHAnsi"/>
          <w:b/>
          <w:sz w:val="22"/>
          <w:szCs w:val="22"/>
          <w:lang w:val="en-US" w:eastAsia="ja-JP"/>
        </w:rPr>
      </w:pPr>
    </w:p>
    <w:p w14:paraId="0F241FB2" w14:textId="77777777" w:rsidR="009D709A" w:rsidRDefault="009D709A" w:rsidP="001A68ED">
      <w:pPr>
        <w:jc w:val="both"/>
        <w:rPr>
          <w:rFonts w:asciiTheme="minorHAnsi" w:hAnsiTheme="minorHAnsi"/>
          <w:b/>
          <w:sz w:val="22"/>
          <w:szCs w:val="22"/>
          <w:lang w:val="en-US" w:eastAsia="ja-JP"/>
        </w:rPr>
      </w:pPr>
    </w:p>
    <w:p w14:paraId="47F1B405" w14:textId="77777777" w:rsidR="009D709A" w:rsidRDefault="009D709A" w:rsidP="001A68ED">
      <w:pPr>
        <w:jc w:val="both"/>
        <w:rPr>
          <w:rFonts w:asciiTheme="minorHAnsi" w:hAnsiTheme="minorHAnsi"/>
          <w:b/>
          <w:sz w:val="22"/>
          <w:szCs w:val="22"/>
          <w:lang w:val="en-US" w:eastAsia="ja-JP"/>
        </w:rPr>
      </w:pPr>
    </w:p>
    <w:p w14:paraId="3B6DEC3E" w14:textId="77777777" w:rsidR="009D709A" w:rsidRDefault="009D709A" w:rsidP="001A68ED">
      <w:pPr>
        <w:jc w:val="both"/>
        <w:rPr>
          <w:rFonts w:asciiTheme="minorHAnsi" w:hAnsiTheme="minorHAnsi"/>
          <w:b/>
          <w:sz w:val="22"/>
          <w:szCs w:val="22"/>
          <w:lang w:val="en-US" w:eastAsia="ja-JP"/>
        </w:rPr>
      </w:pPr>
    </w:p>
    <w:p w14:paraId="101311FA" w14:textId="77777777" w:rsidR="009D709A" w:rsidRDefault="009D709A" w:rsidP="001A68ED">
      <w:pPr>
        <w:jc w:val="both"/>
        <w:rPr>
          <w:rFonts w:asciiTheme="minorHAnsi" w:hAnsiTheme="minorHAnsi"/>
          <w:b/>
          <w:sz w:val="22"/>
          <w:szCs w:val="22"/>
          <w:lang w:val="en-US" w:eastAsia="ja-JP"/>
        </w:rPr>
      </w:pPr>
    </w:p>
    <w:p w14:paraId="381D1B1E" w14:textId="77777777" w:rsidR="009D709A" w:rsidRDefault="009D709A" w:rsidP="001A68ED">
      <w:pPr>
        <w:jc w:val="both"/>
        <w:rPr>
          <w:rFonts w:asciiTheme="minorHAnsi" w:hAnsiTheme="minorHAnsi"/>
          <w:b/>
          <w:sz w:val="22"/>
          <w:szCs w:val="22"/>
          <w:lang w:val="en-US" w:eastAsia="ja-JP"/>
        </w:rPr>
      </w:pPr>
    </w:p>
    <w:p w14:paraId="31EAA063" w14:textId="77777777" w:rsidR="009D709A" w:rsidRDefault="009D709A" w:rsidP="001A68ED">
      <w:pPr>
        <w:jc w:val="both"/>
        <w:rPr>
          <w:rFonts w:asciiTheme="minorHAnsi" w:hAnsiTheme="minorHAnsi"/>
          <w:b/>
          <w:sz w:val="22"/>
          <w:szCs w:val="22"/>
          <w:lang w:val="en-US" w:eastAsia="ja-JP"/>
        </w:rPr>
      </w:pPr>
    </w:p>
    <w:p w14:paraId="0FB634C9" w14:textId="77777777" w:rsidR="009D709A" w:rsidRDefault="009D709A" w:rsidP="001A68ED">
      <w:pPr>
        <w:jc w:val="both"/>
        <w:rPr>
          <w:rFonts w:asciiTheme="minorHAnsi" w:hAnsiTheme="minorHAnsi"/>
          <w:b/>
          <w:sz w:val="22"/>
          <w:szCs w:val="22"/>
          <w:lang w:val="en-US" w:eastAsia="ja-JP"/>
        </w:rPr>
      </w:pPr>
    </w:p>
    <w:p w14:paraId="388FDADA" w14:textId="77777777" w:rsidR="009D709A" w:rsidRDefault="009D709A" w:rsidP="001A68ED">
      <w:pPr>
        <w:jc w:val="both"/>
        <w:rPr>
          <w:rFonts w:asciiTheme="minorHAnsi" w:hAnsiTheme="minorHAnsi"/>
          <w:b/>
          <w:sz w:val="22"/>
          <w:szCs w:val="22"/>
          <w:lang w:val="en-US" w:eastAsia="ja-JP"/>
        </w:rPr>
      </w:pPr>
    </w:p>
    <w:p w14:paraId="4C79AE84" w14:textId="21E3BB29" w:rsidR="007E6A0A" w:rsidRPr="00333BE4" w:rsidRDefault="007E6A0A" w:rsidP="001A68ED">
      <w:pPr>
        <w:jc w:val="both"/>
        <w:rPr>
          <w:rFonts w:asciiTheme="minorHAnsi" w:hAnsiTheme="minorHAnsi"/>
          <w:b/>
          <w:sz w:val="22"/>
          <w:szCs w:val="22"/>
          <w:lang w:val="en-US" w:eastAsia="ja-JP"/>
        </w:rPr>
      </w:pPr>
      <w:r w:rsidRPr="00333BE4">
        <w:rPr>
          <w:rFonts w:asciiTheme="minorHAnsi" w:hAnsiTheme="minorHAnsi"/>
          <w:b/>
          <w:sz w:val="22"/>
          <w:szCs w:val="22"/>
          <w:lang w:val="en-US" w:eastAsia="ja-JP"/>
        </w:rPr>
        <w:lastRenderedPageBreak/>
        <w:t xml:space="preserve">Figure </w:t>
      </w:r>
      <w:r w:rsidR="001A68ED" w:rsidRPr="00333BE4">
        <w:rPr>
          <w:rFonts w:asciiTheme="minorHAnsi" w:hAnsiTheme="minorHAnsi"/>
          <w:b/>
          <w:sz w:val="22"/>
          <w:szCs w:val="22"/>
          <w:lang w:val="en-US" w:eastAsia="ja-JP"/>
        </w:rPr>
        <w:t>5a</w:t>
      </w:r>
      <w:r w:rsidRPr="00333BE4">
        <w:rPr>
          <w:rFonts w:asciiTheme="minorHAnsi" w:hAnsiTheme="minorHAnsi"/>
          <w:b/>
          <w:sz w:val="22"/>
          <w:szCs w:val="22"/>
          <w:lang w:val="en-US" w:eastAsia="ja-JP"/>
        </w:rPr>
        <w:t>: Employment activities 6 months after graduating, by gender (%)</w:t>
      </w:r>
    </w:p>
    <w:p w14:paraId="7328E307" w14:textId="5D3C0B7F" w:rsidR="007E6A0A" w:rsidRPr="00333BE4" w:rsidRDefault="005010AC" w:rsidP="001A68ED">
      <w:pPr>
        <w:jc w:val="both"/>
        <w:rPr>
          <w:rFonts w:asciiTheme="minorHAnsi" w:hAnsiTheme="minorHAnsi"/>
          <w:b/>
          <w:sz w:val="22"/>
          <w:szCs w:val="22"/>
          <w:lang w:val="en-US" w:eastAsia="ja-JP"/>
        </w:rPr>
      </w:pPr>
      <w:r w:rsidRPr="00333BE4">
        <w:rPr>
          <w:rFonts w:asciiTheme="minorHAnsi" w:hAnsiTheme="minorHAnsi"/>
          <w:b/>
          <w:noProof/>
          <w:sz w:val="22"/>
          <w:szCs w:val="22"/>
        </w:rPr>
        <mc:AlternateContent>
          <mc:Choice Requires="wps">
            <w:drawing>
              <wp:anchor distT="0" distB="0" distL="114300" distR="114300" simplePos="0" relativeHeight="251659264" behindDoc="0" locked="0" layoutInCell="1" allowOverlap="1" wp14:anchorId="6391DF07" wp14:editId="1E5C2773">
                <wp:simplePos x="0" y="0"/>
                <wp:positionH relativeFrom="column">
                  <wp:posOffset>4316095</wp:posOffset>
                </wp:positionH>
                <wp:positionV relativeFrom="paragraph">
                  <wp:posOffset>2750820</wp:posOffset>
                </wp:positionV>
                <wp:extent cx="13595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03985"/>
                        </a:xfrm>
                        <a:prstGeom prst="rect">
                          <a:avLst/>
                        </a:prstGeom>
                        <a:noFill/>
                        <a:ln w="9525">
                          <a:noFill/>
                          <a:miter lim="800000"/>
                          <a:headEnd/>
                          <a:tailEnd/>
                        </a:ln>
                      </wps:spPr>
                      <wps:txbx>
                        <w:txbxContent>
                          <w:p w14:paraId="27F5B5BC" w14:textId="5CC387B4" w:rsidR="00956621" w:rsidRPr="005010AC" w:rsidRDefault="00956621">
                            <w:pPr>
                              <w:rPr>
                                <w:rFonts w:asciiTheme="minorHAnsi" w:hAnsiTheme="minorHAnsi"/>
                                <w:sz w:val="18"/>
                                <w:szCs w:val="18"/>
                              </w:rPr>
                            </w:pPr>
                            <w:r w:rsidRPr="005010AC">
                              <w:rPr>
                                <w:rFonts w:asciiTheme="minorHAnsi" w:hAnsiTheme="minorHAnsi"/>
                                <w:sz w:val="18"/>
                                <w:szCs w:val="18"/>
                              </w:rPr>
                              <w:t>Source: DLHE 2013/14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91DF07" id="_x0000_t202" coordsize="21600,21600" o:spt="202" path="m,l,21600r21600,l21600,xe">
                <v:stroke joinstyle="miter"/>
                <v:path gradientshapeok="t" o:connecttype="rect"/>
              </v:shapetype>
              <v:shape id="Text Box 2" o:spid="_x0000_s1026" type="#_x0000_t202" style="position:absolute;left:0;text-align:left;margin-left:339.85pt;margin-top:216.6pt;width:107.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FGDgIAAPUDAAAOAAAAZHJzL2Uyb0RvYy54bWysU9tu2zAMfR+wfxD0vti5eE2MKEXXLsOA&#10;7gK0+wBFlmNhkqhJSuzu60vJaRpsb8P8IIgmechzSK2vB6PJUfqgwDI6nZSUSCugUXbP6I/H7bsl&#10;JSFy23ANVjL6JAO93rx9s+5dLWfQgW6kJwhiQ907RrsYXV0UQXTS8DABJy06W/CGRzT9vmg87xHd&#10;6GJWlu+LHnzjPAgZAv69G510k/HbVor4rW2DjEQzir3FfPp87tJZbNa83nvuOiVObfB/6MJwZbHo&#10;GeqOR04OXv0FZZTwEKCNEwGmgLZVQmYOyGZa/sHmoeNOZi4oTnBnmcL/gxVfj989UQ2j8/KKEssN&#10;DulRDpF8gIHMkj69CzWGPTgMjAP+xjlnrsHdg/gZiIXbjtu9vPEe+k7yBvubpsziInXECQlk13+B&#10;BsvwQ4QMNLTeJPFQDoLoOKen82xSKyKVnFeral5RItA3XZTz1bLKNXj9ku58iJ8kGJIujHocfobn&#10;x/sQUzu8fglJ1SxsldZ5AbQlPaOralblhAuPURH3UyvD6LJM37gxieVH2+TkyJUe71hA2xPtxHTk&#10;HIfdgIFJix00TyiAh3EP8d3gpQP/m5Ied5DR8OvAvaREf7Yo4mq6WKSlzcaiupqh4S89u0sPtwKh&#10;GI2UjNfbmBc9cQ3uBsXeqizDayenXnG3sjqnd5CW99LOUa+vdfMMAAD//wMAUEsDBBQABgAIAAAA&#10;IQBJWgFV4AAAAAsBAAAPAAAAZHJzL2Rvd25yZXYueG1sTI/BTsMwEETvSPyDtUjcqENSmjaNU1Wo&#10;LUegRJzd2E0i4rVlu2n4e5YTHFfzNPum3ExmYKP2obco4HGWANPYWNVjK6D+2D8sgYUoUcnBohbw&#10;rQNsqtubUhbKXvFdj8fYMirBUEgBXYyu4Dw0nTYyzKzTSNnZeiMjnb7lyssrlZuBp0my4Eb2SB86&#10;6fRzp5uv48UIcNEd8hf/+rbd7cek/jzUad/uhLi/m7ZrYFFP8Q+GX31Sh4qcTvaCKrBBwCJf5YQK&#10;mGdZCoyI5SqjMSeKnuYZ8Krk/zdUPwAAAP//AwBQSwECLQAUAAYACAAAACEAtoM4kv4AAADhAQAA&#10;EwAAAAAAAAAAAAAAAAAAAAAAW0NvbnRlbnRfVHlwZXNdLnhtbFBLAQItABQABgAIAAAAIQA4/SH/&#10;1gAAAJQBAAALAAAAAAAAAAAAAAAAAC8BAABfcmVscy8ucmVsc1BLAQItABQABgAIAAAAIQBsBLFG&#10;DgIAAPUDAAAOAAAAAAAAAAAAAAAAAC4CAABkcnMvZTJvRG9jLnhtbFBLAQItABQABgAIAAAAIQBJ&#10;WgFV4AAAAAsBAAAPAAAAAAAAAAAAAAAAAGgEAABkcnMvZG93bnJldi54bWxQSwUGAAAAAAQABADz&#10;AAAAdQUAAAAA&#10;" filled="f" stroked="f">
                <v:textbox style="mso-fit-shape-to-text:t">
                  <w:txbxContent>
                    <w:p w14:paraId="27F5B5BC" w14:textId="5CC387B4" w:rsidR="00956621" w:rsidRPr="005010AC" w:rsidRDefault="00956621">
                      <w:pPr>
                        <w:rPr>
                          <w:rFonts w:asciiTheme="minorHAnsi" w:hAnsiTheme="minorHAnsi"/>
                          <w:sz w:val="18"/>
                          <w:szCs w:val="18"/>
                        </w:rPr>
                      </w:pPr>
                      <w:r w:rsidRPr="005010AC">
                        <w:rPr>
                          <w:rFonts w:asciiTheme="minorHAnsi" w:hAnsiTheme="minorHAnsi"/>
                          <w:sz w:val="18"/>
                          <w:szCs w:val="18"/>
                        </w:rPr>
                        <w:t>Source: DLHE 2013/14</w:t>
                      </w:r>
                    </w:p>
                  </w:txbxContent>
                </v:textbox>
              </v:shape>
            </w:pict>
          </mc:Fallback>
        </mc:AlternateContent>
      </w:r>
      <w:r w:rsidR="007E6A0A" w:rsidRPr="00333BE4">
        <w:rPr>
          <w:rFonts w:asciiTheme="minorHAnsi" w:hAnsiTheme="minorHAnsi"/>
          <w:b/>
          <w:noProof/>
          <w:sz w:val="22"/>
          <w:szCs w:val="22"/>
        </w:rPr>
        <w:drawing>
          <wp:inline distT="0" distB="0" distL="0" distR="0" wp14:anchorId="58CC4206" wp14:editId="12FE03C5">
            <wp:extent cx="6257925" cy="3048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63089" cy="3050515"/>
                    </a:xfrm>
                    <a:prstGeom prst="rect">
                      <a:avLst/>
                    </a:prstGeom>
                    <a:noFill/>
                  </pic:spPr>
                </pic:pic>
              </a:graphicData>
            </a:graphic>
          </wp:inline>
        </w:drawing>
      </w:r>
    </w:p>
    <w:p w14:paraId="029A8506" w14:textId="77777777" w:rsidR="007E6A0A" w:rsidRPr="00333BE4" w:rsidRDefault="007E6A0A" w:rsidP="001A68ED">
      <w:pPr>
        <w:jc w:val="both"/>
        <w:rPr>
          <w:rFonts w:asciiTheme="minorHAnsi" w:hAnsiTheme="minorHAnsi"/>
          <w:sz w:val="22"/>
          <w:szCs w:val="22"/>
          <w:lang w:val="en-US" w:eastAsia="ja-JP"/>
        </w:rPr>
      </w:pPr>
    </w:p>
    <w:p w14:paraId="4D9808FB" w14:textId="64B99172" w:rsidR="007E6A0A" w:rsidRPr="00333BE4" w:rsidRDefault="007E6A0A" w:rsidP="004035CD">
      <w:pPr>
        <w:ind w:left="720"/>
        <w:jc w:val="both"/>
        <w:rPr>
          <w:rFonts w:asciiTheme="minorHAnsi" w:hAnsiTheme="minorHAnsi"/>
          <w:sz w:val="22"/>
          <w:szCs w:val="22"/>
          <w:lang w:val="en-US" w:eastAsia="ja-JP"/>
        </w:rPr>
      </w:pPr>
      <w:r w:rsidRPr="00333BE4">
        <w:rPr>
          <w:rFonts w:asciiTheme="minorHAnsi" w:hAnsiTheme="minorHAnsi"/>
          <w:sz w:val="22"/>
          <w:szCs w:val="22"/>
          <w:lang w:val="en-US" w:eastAsia="ja-JP"/>
        </w:rPr>
        <w:t>The leavers who were under 21 when they first enrolled on their degree were more likely to be in full time study or full time employment 6 months after graduating, whereas mature leavers were more likely to be com</w:t>
      </w:r>
      <w:r w:rsidR="001A68ED" w:rsidRPr="00333BE4">
        <w:rPr>
          <w:rFonts w:asciiTheme="minorHAnsi" w:hAnsiTheme="minorHAnsi"/>
          <w:sz w:val="22"/>
          <w:szCs w:val="22"/>
          <w:lang w:val="en-US" w:eastAsia="ja-JP"/>
        </w:rPr>
        <w:t>bining work and study. (Figure 5b</w:t>
      </w:r>
      <w:r w:rsidRPr="00333BE4">
        <w:rPr>
          <w:rFonts w:asciiTheme="minorHAnsi" w:hAnsiTheme="minorHAnsi"/>
          <w:sz w:val="22"/>
          <w:szCs w:val="22"/>
          <w:lang w:val="en-US" w:eastAsia="ja-JP"/>
        </w:rPr>
        <w:t>).</w:t>
      </w:r>
    </w:p>
    <w:p w14:paraId="2BE8D87B" w14:textId="77777777" w:rsidR="001A68ED" w:rsidRPr="00333BE4" w:rsidRDefault="001A68ED" w:rsidP="001A68ED">
      <w:pPr>
        <w:jc w:val="both"/>
        <w:rPr>
          <w:rFonts w:asciiTheme="minorHAnsi" w:hAnsiTheme="minorHAnsi"/>
          <w:sz w:val="22"/>
          <w:szCs w:val="22"/>
          <w:lang w:val="en-US" w:eastAsia="ja-JP"/>
        </w:rPr>
      </w:pPr>
    </w:p>
    <w:p w14:paraId="5C9D70B4" w14:textId="6669801D" w:rsidR="007E6A0A" w:rsidRPr="00333BE4" w:rsidRDefault="001A68ED" w:rsidP="001A68ED">
      <w:pPr>
        <w:jc w:val="both"/>
        <w:rPr>
          <w:rFonts w:asciiTheme="minorHAnsi" w:hAnsiTheme="minorHAnsi"/>
          <w:b/>
          <w:sz w:val="22"/>
          <w:szCs w:val="22"/>
          <w:lang w:val="en-US" w:eastAsia="ja-JP"/>
        </w:rPr>
      </w:pPr>
      <w:r w:rsidRPr="00333BE4">
        <w:rPr>
          <w:rFonts w:asciiTheme="minorHAnsi" w:hAnsiTheme="minorHAnsi"/>
          <w:b/>
          <w:sz w:val="22"/>
          <w:szCs w:val="22"/>
          <w:lang w:val="en-US" w:eastAsia="ja-JP"/>
        </w:rPr>
        <w:t>Figure 5b</w:t>
      </w:r>
      <w:r w:rsidR="007E6A0A" w:rsidRPr="00333BE4">
        <w:rPr>
          <w:rFonts w:asciiTheme="minorHAnsi" w:hAnsiTheme="minorHAnsi"/>
          <w:b/>
          <w:sz w:val="22"/>
          <w:szCs w:val="22"/>
          <w:lang w:val="en-US" w:eastAsia="ja-JP"/>
        </w:rPr>
        <w:t>: Employment activities 6 months after graduating, by age (%)</w:t>
      </w:r>
    </w:p>
    <w:p w14:paraId="1EF99C55" w14:textId="65B46801" w:rsidR="007E6A0A" w:rsidRPr="00333BE4" w:rsidRDefault="005010AC" w:rsidP="001A68ED">
      <w:pPr>
        <w:jc w:val="both"/>
        <w:rPr>
          <w:rFonts w:asciiTheme="minorHAnsi" w:hAnsiTheme="minorHAnsi"/>
          <w:sz w:val="22"/>
          <w:szCs w:val="22"/>
          <w:lang w:val="en-US" w:eastAsia="ja-JP"/>
        </w:rPr>
      </w:pPr>
      <w:r w:rsidRPr="00333BE4">
        <w:rPr>
          <w:rFonts w:asciiTheme="minorHAnsi" w:hAnsiTheme="minorHAnsi"/>
          <w:b/>
          <w:noProof/>
          <w:sz w:val="22"/>
          <w:szCs w:val="22"/>
        </w:rPr>
        <mc:AlternateContent>
          <mc:Choice Requires="wps">
            <w:drawing>
              <wp:anchor distT="0" distB="0" distL="114300" distR="114300" simplePos="0" relativeHeight="251661312" behindDoc="0" locked="0" layoutInCell="1" allowOverlap="1" wp14:anchorId="5506EE7D" wp14:editId="2D90DCD8">
                <wp:simplePos x="0" y="0"/>
                <wp:positionH relativeFrom="column">
                  <wp:posOffset>4232910</wp:posOffset>
                </wp:positionH>
                <wp:positionV relativeFrom="paragraph">
                  <wp:posOffset>2756535</wp:posOffset>
                </wp:positionV>
                <wp:extent cx="135953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03985"/>
                        </a:xfrm>
                        <a:prstGeom prst="rect">
                          <a:avLst/>
                        </a:prstGeom>
                        <a:noFill/>
                        <a:ln w="9525">
                          <a:noFill/>
                          <a:miter lim="800000"/>
                          <a:headEnd/>
                          <a:tailEnd/>
                        </a:ln>
                      </wps:spPr>
                      <wps:txbx>
                        <w:txbxContent>
                          <w:p w14:paraId="3A290432" w14:textId="77777777" w:rsidR="00956621" w:rsidRPr="005010AC" w:rsidRDefault="00956621" w:rsidP="005010AC">
                            <w:pPr>
                              <w:rPr>
                                <w:rFonts w:asciiTheme="minorHAnsi" w:hAnsiTheme="minorHAnsi"/>
                                <w:sz w:val="18"/>
                                <w:szCs w:val="18"/>
                              </w:rPr>
                            </w:pPr>
                            <w:r w:rsidRPr="005010AC">
                              <w:rPr>
                                <w:rFonts w:asciiTheme="minorHAnsi" w:hAnsiTheme="minorHAnsi"/>
                                <w:sz w:val="18"/>
                                <w:szCs w:val="18"/>
                              </w:rPr>
                              <w:t>Source: DLHE 2013/14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6EE7D" id="_x0000_s1027" type="#_x0000_t202" style="position:absolute;left:0;text-align:left;margin-left:333.3pt;margin-top:217.05pt;width:107.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vBDQIAAPoDAAAOAAAAZHJzL2Uyb0RvYy54bWysU9tu2zAMfR+wfxD0vviSeEuMOEXXLsOA&#10;7gK0+wBFlmNhkqhJSuzs60fJaRpsb8P8IIgmechzSK1vRq3IUTgvwTS0mOWUCMOhlWbf0O9P2zdL&#10;SnxgpmUKjGjoSXh6s3n9aj3YWpTQg2qFIwhifD3YhvYh2DrLPO+FZn4GVhh0duA0C2i6fdY6NiC6&#10;VlmZ52+zAVxrHXDhPf69n5x0k/C7TvDwteu8CEQ1FHsL6XTp3MUz26xZvXfM9pKf22D/0IVm0mDR&#10;C9Q9C4wcnPwLSkvuwEMXZhx0Bl0nuUgckE2R/8HmsWdWJC4ojrcXmfz/g+Vfjt8ckS3OjhLDNI7o&#10;SYyBvIeRlFGdwfoagx4thoURf8fIyNTbB+A/PDFw1zOzF7fOwdAL1mJ3RczMrlInHB9BdsNnaLEM&#10;OwRIQGPndAREMQii45ROl8nEVngsOa9W1byihKOvWOTz1bJKNVj9nG6dDx8FaBIvDXU4+gTPjg8+&#10;xHZY/RwSqxnYSqXS+JUhQ0NXVVmlhCuPlgG3U0nd0GUev2lfIssPpk3JgUk13bGAMmfakenEOYy7&#10;8awvxkdJdtCeUAcH0zLi48FLD+4XJQMuYkP9zwNzghL1yaCWq2KxiJubjEX1rkTDXXt21x5mOEI1&#10;NFAyXe9C2vZpYreo+VYmNV46ObeMC5ZEOj+GuMHXdop6ebKb3wAAAP//AwBQSwMEFAAGAAgAAAAh&#10;AFumP0HfAAAACwEAAA8AAABkcnMvZG93bnJldi54bWxMj8tOwzAQRfdI/IM1SOyo3dBHFOJUFWrL&#10;klIi1m48JBHxQ7abhr9nWMHsRvfozplyM5mBjRhi76yE+UwAQ9s43dtWQv2+f8iBxaSsVoOzKOEb&#10;I2yq25tSFdpd7RuOp9QyKrGxUBK6lHzBeWw6NCrOnEdL2acLRiVaQ8t1UFcqNwPPhFhxo3pLFzrl&#10;8bnD5ut0MRJ88of1S3g9bnf7UdQfhzrr252U93fT9glYwin9wfCrT+pQkdPZXayObJCwoiFUwuJx&#10;MQdGRJ6LNbAzRctlBrwq+f8fqh8AAAD//wMAUEsBAi0AFAAGAAgAAAAhALaDOJL+AAAA4QEAABMA&#10;AAAAAAAAAAAAAAAAAAAAAFtDb250ZW50X1R5cGVzXS54bWxQSwECLQAUAAYACAAAACEAOP0h/9YA&#10;AACUAQAACwAAAAAAAAAAAAAAAAAvAQAAX3JlbHMvLnJlbHNQSwECLQAUAAYACAAAACEALl5LwQ0C&#10;AAD6AwAADgAAAAAAAAAAAAAAAAAuAgAAZHJzL2Uyb0RvYy54bWxQSwECLQAUAAYACAAAACEAW6Y/&#10;Qd8AAAALAQAADwAAAAAAAAAAAAAAAABnBAAAZHJzL2Rvd25yZXYueG1sUEsFBgAAAAAEAAQA8wAA&#10;AHMFAAAAAA==&#10;" filled="f" stroked="f">
                <v:textbox style="mso-fit-shape-to-text:t">
                  <w:txbxContent>
                    <w:p w14:paraId="3A290432" w14:textId="77777777" w:rsidR="00956621" w:rsidRPr="005010AC" w:rsidRDefault="00956621" w:rsidP="005010AC">
                      <w:pPr>
                        <w:rPr>
                          <w:rFonts w:asciiTheme="minorHAnsi" w:hAnsiTheme="minorHAnsi"/>
                          <w:sz w:val="18"/>
                          <w:szCs w:val="18"/>
                        </w:rPr>
                      </w:pPr>
                      <w:r w:rsidRPr="005010AC">
                        <w:rPr>
                          <w:rFonts w:asciiTheme="minorHAnsi" w:hAnsiTheme="minorHAnsi"/>
                          <w:sz w:val="18"/>
                          <w:szCs w:val="18"/>
                        </w:rPr>
                        <w:t>Source: DLHE 2013/14</w:t>
                      </w:r>
                    </w:p>
                  </w:txbxContent>
                </v:textbox>
              </v:shape>
            </w:pict>
          </mc:Fallback>
        </mc:AlternateContent>
      </w:r>
      <w:r w:rsidR="007E6A0A" w:rsidRPr="00333BE4">
        <w:rPr>
          <w:rFonts w:asciiTheme="minorHAnsi" w:hAnsiTheme="minorHAnsi"/>
          <w:noProof/>
          <w:sz w:val="22"/>
          <w:szCs w:val="22"/>
        </w:rPr>
        <w:drawing>
          <wp:inline distT="0" distB="0" distL="0" distR="0" wp14:anchorId="3C9D83E0" wp14:editId="5C9C9BC3">
            <wp:extent cx="6191250" cy="295217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6421" cy="2954643"/>
                    </a:xfrm>
                    <a:prstGeom prst="rect">
                      <a:avLst/>
                    </a:prstGeom>
                    <a:noFill/>
                  </pic:spPr>
                </pic:pic>
              </a:graphicData>
            </a:graphic>
          </wp:inline>
        </w:drawing>
      </w:r>
    </w:p>
    <w:p w14:paraId="68EF34C7" w14:textId="77777777" w:rsidR="007E6A0A" w:rsidRPr="00333BE4" w:rsidRDefault="007E6A0A" w:rsidP="001A68ED">
      <w:pPr>
        <w:jc w:val="both"/>
        <w:rPr>
          <w:rFonts w:asciiTheme="minorHAnsi" w:hAnsiTheme="minorHAnsi"/>
          <w:sz w:val="22"/>
          <w:szCs w:val="22"/>
          <w:lang w:val="en-US" w:eastAsia="ja-JP"/>
        </w:rPr>
      </w:pPr>
    </w:p>
    <w:p w14:paraId="1E10D7AE" w14:textId="3AA9FFD0" w:rsidR="007E6A0A" w:rsidRPr="00333BE4" w:rsidRDefault="007E6A0A" w:rsidP="004035CD">
      <w:pPr>
        <w:ind w:left="720"/>
        <w:jc w:val="both"/>
        <w:rPr>
          <w:rFonts w:asciiTheme="minorHAnsi" w:hAnsiTheme="minorHAnsi"/>
          <w:sz w:val="22"/>
          <w:szCs w:val="22"/>
          <w:lang w:val="en-US" w:eastAsia="ja-JP"/>
        </w:rPr>
      </w:pPr>
      <w:r w:rsidRPr="00333BE4">
        <w:rPr>
          <w:rFonts w:asciiTheme="minorHAnsi" w:hAnsiTheme="minorHAnsi"/>
          <w:sz w:val="22"/>
          <w:szCs w:val="22"/>
          <w:lang w:val="en-US" w:eastAsia="ja-JP"/>
        </w:rPr>
        <w:t>A larger proportion of minority ethnic leavers compared with white leavers were in part-time work or primarily in w</w:t>
      </w:r>
      <w:r w:rsidR="001A68ED" w:rsidRPr="00333BE4">
        <w:rPr>
          <w:rFonts w:asciiTheme="minorHAnsi" w:hAnsiTheme="minorHAnsi"/>
          <w:sz w:val="22"/>
          <w:szCs w:val="22"/>
          <w:lang w:val="en-US" w:eastAsia="ja-JP"/>
        </w:rPr>
        <w:t>ork and also studying. (Figure 5c</w:t>
      </w:r>
      <w:r w:rsidRPr="00333BE4">
        <w:rPr>
          <w:rFonts w:asciiTheme="minorHAnsi" w:hAnsiTheme="minorHAnsi"/>
          <w:sz w:val="22"/>
          <w:szCs w:val="22"/>
          <w:lang w:val="en-US" w:eastAsia="ja-JP"/>
        </w:rPr>
        <w:t>).</w:t>
      </w:r>
    </w:p>
    <w:p w14:paraId="4C1D3E26" w14:textId="026BBB88" w:rsidR="001A68ED" w:rsidRDefault="001A68ED" w:rsidP="001A68ED">
      <w:pPr>
        <w:jc w:val="both"/>
        <w:rPr>
          <w:rFonts w:asciiTheme="minorHAnsi" w:hAnsiTheme="minorHAnsi"/>
          <w:sz w:val="22"/>
          <w:szCs w:val="22"/>
          <w:lang w:val="en-US" w:eastAsia="ja-JP"/>
        </w:rPr>
      </w:pPr>
    </w:p>
    <w:p w14:paraId="7A05FD23" w14:textId="265B392F" w:rsidR="009D709A" w:rsidRDefault="009D709A" w:rsidP="001A68ED">
      <w:pPr>
        <w:jc w:val="both"/>
        <w:rPr>
          <w:rFonts w:asciiTheme="minorHAnsi" w:hAnsiTheme="minorHAnsi"/>
          <w:sz w:val="22"/>
          <w:szCs w:val="22"/>
          <w:lang w:val="en-US" w:eastAsia="ja-JP"/>
        </w:rPr>
      </w:pPr>
    </w:p>
    <w:p w14:paraId="14AD86BC" w14:textId="1FE46297" w:rsidR="009D709A" w:rsidRDefault="009D709A" w:rsidP="001A68ED">
      <w:pPr>
        <w:jc w:val="both"/>
        <w:rPr>
          <w:rFonts w:asciiTheme="minorHAnsi" w:hAnsiTheme="minorHAnsi"/>
          <w:sz w:val="22"/>
          <w:szCs w:val="22"/>
          <w:lang w:val="en-US" w:eastAsia="ja-JP"/>
        </w:rPr>
      </w:pPr>
    </w:p>
    <w:p w14:paraId="17A7088F" w14:textId="56C8E8D7" w:rsidR="009D709A" w:rsidRDefault="009D709A" w:rsidP="001A68ED">
      <w:pPr>
        <w:jc w:val="both"/>
        <w:rPr>
          <w:rFonts w:asciiTheme="minorHAnsi" w:hAnsiTheme="minorHAnsi"/>
          <w:sz w:val="22"/>
          <w:szCs w:val="22"/>
          <w:lang w:val="en-US" w:eastAsia="ja-JP"/>
        </w:rPr>
      </w:pPr>
    </w:p>
    <w:p w14:paraId="749964CE" w14:textId="0E26F081" w:rsidR="009D709A" w:rsidRDefault="009D709A" w:rsidP="001A68ED">
      <w:pPr>
        <w:jc w:val="both"/>
        <w:rPr>
          <w:rFonts w:asciiTheme="minorHAnsi" w:hAnsiTheme="minorHAnsi"/>
          <w:sz w:val="22"/>
          <w:szCs w:val="22"/>
          <w:lang w:val="en-US" w:eastAsia="ja-JP"/>
        </w:rPr>
      </w:pPr>
    </w:p>
    <w:p w14:paraId="06E549BA" w14:textId="4F829C0E" w:rsidR="009D709A" w:rsidRDefault="009D709A" w:rsidP="001A68ED">
      <w:pPr>
        <w:jc w:val="both"/>
        <w:rPr>
          <w:rFonts w:asciiTheme="minorHAnsi" w:hAnsiTheme="minorHAnsi"/>
          <w:sz w:val="22"/>
          <w:szCs w:val="22"/>
          <w:lang w:val="en-US" w:eastAsia="ja-JP"/>
        </w:rPr>
      </w:pPr>
    </w:p>
    <w:p w14:paraId="60A9B567" w14:textId="77777777" w:rsidR="009D709A" w:rsidRPr="00333BE4" w:rsidRDefault="009D709A" w:rsidP="001A68ED">
      <w:pPr>
        <w:jc w:val="both"/>
        <w:rPr>
          <w:rFonts w:asciiTheme="minorHAnsi" w:hAnsiTheme="minorHAnsi"/>
          <w:sz w:val="22"/>
          <w:szCs w:val="22"/>
          <w:lang w:val="en-US" w:eastAsia="ja-JP"/>
        </w:rPr>
      </w:pPr>
    </w:p>
    <w:p w14:paraId="072F037C" w14:textId="539D1436" w:rsidR="007E6A0A" w:rsidRPr="00333BE4" w:rsidRDefault="007E6A0A" w:rsidP="001A68ED">
      <w:pPr>
        <w:pStyle w:val="ListParagraph"/>
        <w:ind w:left="0"/>
        <w:jc w:val="both"/>
        <w:rPr>
          <w:rFonts w:asciiTheme="minorHAnsi" w:hAnsiTheme="minorHAnsi"/>
          <w:b/>
          <w:sz w:val="22"/>
          <w:szCs w:val="22"/>
          <w:lang w:val="en-US" w:eastAsia="ja-JP"/>
        </w:rPr>
      </w:pPr>
      <w:r w:rsidRPr="00333BE4">
        <w:rPr>
          <w:rFonts w:asciiTheme="minorHAnsi" w:hAnsiTheme="minorHAnsi"/>
          <w:b/>
          <w:sz w:val="22"/>
          <w:szCs w:val="22"/>
          <w:lang w:val="en-US" w:eastAsia="ja-JP"/>
        </w:rPr>
        <w:t xml:space="preserve">Figure </w:t>
      </w:r>
      <w:r w:rsidR="001A68ED" w:rsidRPr="00333BE4">
        <w:rPr>
          <w:rFonts w:asciiTheme="minorHAnsi" w:hAnsiTheme="minorHAnsi"/>
          <w:b/>
          <w:sz w:val="22"/>
          <w:szCs w:val="22"/>
          <w:lang w:val="en-US" w:eastAsia="ja-JP"/>
        </w:rPr>
        <w:t>5c</w:t>
      </w:r>
      <w:r w:rsidRPr="00333BE4">
        <w:rPr>
          <w:rFonts w:asciiTheme="minorHAnsi" w:hAnsiTheme="minorHAnsi"/>
          <w:b/>
          <w:sz w:val="22"/>
          <w:szCs w:val="22"/>
          <w:lang w:val="en-US" w:eastAsia="ja-JP"/>
        </w:rPr>
        <w:t>: Employment activities 6 months after graduating, by ethnicity (%)</w:t>
      </w:r>
    </w:p>
    <w:p w14:paraId="31A55449" w14:textId="708B91EA" w:rsidR="007E6A0A" w:rsidRPr="00333BE4" w:rsidRDefault="005010AC" w:rsidP="001A68ED">
      <w:pPr>
        <w:pStyle w:val="ListParagraph"/>
        <w:ind w:left="0"/>
        <w:jc w:val="both"/>
        <w:rPr>
          <w:rFonts w:asciiTheme="minorHAnsi" w:hAnsiTheme="minorHAnsi"/>
          <w:sz w:val="22"/>
          <w:szCs w:val="22"/>
          <w:lang w:val="en-US" w:eastAsia="ja-JP"/>
        </w:rPr>
      </w:pPr>
      <w:r w:rsidRPr="00333BE4">
        <w:rPr>
          <w:rFonts w:asciiTheme="minorHAnsi" w:hAnsiTheme="minorHAnsi"/>
          <w:b/>
          <w:noProof/>
          <w:sz w:val="22"/>
          <w:szCs w:val="22"/>
        </w:rPr>
        <mc:AlternateContent>
          <mc:Choice Requires="wps">
            <w:drawing>
              <wp:anchor distT="0" distB="0" distL="114300" distR="114300" simplePos="0" relativeHeight="251663360" behindDoc="0" locked="0" layoutInCell="1" allowOverlap="1" wp14:anchorId="3569ADCD" wp14:editId="08817335">
                <wp:simplePos x="0" y="0"/>
                <wp:positionH relativeFrom="column">
                  <wp:posOffset>4306570</wp:posOffset>
                </wp:positionH>
                <wp:positionV relativeFrom="paragraph">
                  <wp:posOffset>2771775</wp:posOffset>
                </wp:positionV>
                <wp:extent cx="135953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03985"/>
                        </a:xfrm>
                        <a:prstGeom prst="rect">
                          <a:avLst/>
                        </a:prstGeom>
                        <a:noFill/>
                        <a:ln w="9525">
                          <a:noFill/>
                          <a:miter lim="800000"/>
                          <a:headEnd/>
                          <a:tailEnd/>
                        </a:ln>
                      </wps:spPr>
                      <wps:txbx>
                        <w:txbxContent>
                          <w:p w14:paraId="506228A3" w14:textId="77777777" w:rsidR="00956621" w:rsidRPr="005010AC" w:rsidRDefault="00956621" w:rsidP="005010AC">
                            <w:pPr>
                              <w:rPr>
                                <w:rFonts w:asciiTheme="minorHAnsi" w:hAnsiTheme="minorHAnsi"/>
                                <w:sz w:val="18"/>
                                <w:szCs w:val="18"/>
                              </w:rPr>
                            </w:pPr>
                            <w:r w:rsidRPr="005010AC">
                              <w:rPr>
                                <w:rFonts w:asciiTheme="minorHAnsi" w:hAnsiTheme="minorHAnsi"/>
                                <w:sz w:val="18"/>
                                <w:szCs w:val="18"/>
                              </w:rPr>
                              <w:t>Source: DLHE 2013/14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69ADCD" id="_x0000_s1028" type="#_x0000_t202" style="position:absolute;left:0;text-align:left;margin-left:339.1pt;margin-top:218.25pt;width:107.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yiDwIAAPoDAAAOAAAAZHJzL2Uyb0RvYy54bWysU9tu2zAMfR+wfxD0vthx4i0x4hRduwwD&#10;ugvQ7gMUWY6FSaImKbGzrx8lu2mwvQ3zgyCa5CHPIbW5GbQiJ+G8BFPT+SynRBgOjTSHmn5/2r1Z&#10;UeIDMw1TYERNz8LTm+3rV5veVqKADlQjHEEQ46ve1rQLwVZZ5nknNPMzsMKgswWnWUDTHbLGsR7R&#10;tcqKPH+b9eAa64AL7/Hv/eik24TftoKHr23rRSCqpthbSKdL5z6e2XbDqoNjtpN8aoP9QxeaSYNF&#10;L1D3LDBydPIvKC25Aw9tmHHQGbSt5CJxQDbz/A82jx2zInFBcby9yOT/Hyz/cvrmiGxqWlBimMYR&#10;PYkhkPcwkCKq01tfYdCjxbAw4G+ccmLq7QPwH54YuOuYOYhb56DvBGuwu3nMzK5SRxwfQfb9Z2iw&#10;DDsGSEBD63SUDsUgiI5TOl8mE1vhseSiXJeLkhKOvvkyX6xXZarBqud063z4KECTeKmpw9EneHZ6&#10;8CG2w6rnkFjNwE4qlcavDOlrui6LMiVcebQMuJ1K6pqu8viN+xJZfjBNSg5MqvGOBZSZaEemI+cw&#10;7IdJX4yPkuyhOaMODsZlxMeDlw7cL0p6XMSa+p9H5gQl6pNBLdfz5TJubjKW5bsCDXft2V97mOEI&#10;VdNAyXi9C2nbI2Vvb1HznUxqvHQytYwLlkSaHkPc4Gs7Rb082e1vAAAA//8DAFBLAwQUAAYACAAA&#10;ACEAXz25eOAAAAALAQAADwAAAGRycy9kb3ducmV2LnhtbEyPwU7DMBBE70j8g7VI3KhDSpMQ4lQV&#10;asuxUCLObmySiHht2W4a/p7lBMfVPM28rdazGdmkfRgsCrhfJMA0tlYN2Alo3nd3BbAQJSo5WtQC&#10;vnWAdX19VclS2Qu+6ekYO0YlGEopoI/RlZyHttdGhoV1Gin7tN7ISKfvuPLyQuVm5GmSZNzIAWmh&#10;l04/97r9Op6NABfdPn/xh9fNdjclzce+SYduK8Ttzbx5Ahb1HP9g+NUndajJ6WTPqAIbBWR5kRIq&#10;4GGZrYARUTymS2AnilZ5Bryu+P8f6h8AAAD//wMAUEsBAi0AFAAGAAgAAAAhALaDOJL+AAAA4QEA&#10;ABMAAAAAAAAAAAAAAAAAAAAAAFtDb250ZW50X1R5cGVzXS54bWxQSwECLQAUAAYACAAAACEAOP0h&#10;/9YAAACUAQAACwAAAAAAAAAAAAAAAAAvAQAAX3JlbHMvLnJlbHNQSwECLQAUAAYACAAAACEAG57c&#10;og8CAAD6AwAADgAAAAAAAAAAAAAAAAAuAgAAZHJzL2Uyb0RvYy54bWxQSwECLQAUAAYACAAAACEA&#10;Xz25eOAAAAALAQAADwAAAAAAAAAAAAAAAABpBAAAZHJzL2Rvd25yZXYueG1sUEsFBgAAAAAEAAQA&#10;8wAAAHYFAAAAAA==&#10;" filled="f" stroked="f">
                <v:textbox style="mso-fit-shape-to-text:t">
                  <w:txbxContent>
                    <w:p w14:paraId="506228A3" w14:textId="77777777" w:rsidR="00956621" w:rsidRPr="005010AC" w:rsidRDefault="00956621" w:rsidP="005010AC">
                      <w:pPr>
                        <w:rPr>
                          <w:rFonts w:asciiTheme="minorHAnsi" w:hAnsiTheme="minorHAnsi"/>
                          <w:sz w:val="18"/>
                          <w:szCs w:val="18"/>
                        </w:rPr>
                      </w:pPr>
                      <w:r w:rsidRPr="005010AC">
                        <w:rPr>
                          <w:rFonts w:asciiTheme="minorHAnsi" w:hAnsiTheme="minorHAnsi"/>
                          <w:sz w:val="18"/>
                          <w:szCs w:val="18"/>
                        </w:rPr>
                        <w:t>Source: DLHE 2013/14</w:t>
                      </w:r>
                    </w:p>
                  </w:txbxContent>
                </v:textbox>
              </v:shape>
            </w:pict>
          </mc:Fallback>
        </mc:AlternateContent>
      </w:r>
      <w:r w:rsidR="007E6A0A" w:rsidRPr="00333BE4">
        <w:rPr>
          <w:rFonts w:asciiTheme="minorHAnsi" w:hAnsiTheme="minorHAnsi"/>
          <w:noProof/>
          <w:sz w:val="22"/>
          <w:szCs w:val="22"/>
        </w:rPr>
        <w:drawing>
          <wp:inline distT="0" distB="0" distL="0" distR="0" wp14:anchorId="7EFFD516" wp14:editId="32BE10A4">
            <wp:extent cx="6305550" cy="2981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11512" cy="2984144"/>
                    </a:xfrm>
                    <a:prstGeom prst="rect">
                      <a:avLst/>
                    </a:prstGeom>
                    <a:noFill/>
                  </pic:spPr>
                </pic:pic>
              </a:graphicData>
            </a:graphic>
          </wp:inline>
        </w:drawing>
      </w:r>
    </w:p>
    <w:p w14:paraId="2E9F3CC0" w14:textId="77777777" w:rsidR="007E6A0A" w:rsidRPr="00333BE4" w:rsidRDefault="007E6A0A" w:rsidP="001A68ED">
      <w:pPr>
        <w:pStyle w:val="ListParagraph"/>
        <w:ind w:left="360"/>
        <w:jc w:val="both"/>
        <w:rPr>
          <w:rFonts w:asciiTheme="minorHAnsi" w:hAnsiTheme="minorHAnsi"/>
          <w:sz w:val="22"/>
          <w:szCs w:val="22"/>
          <w:lang w:val="en-US" w:eastAsia="ja-JP"/>
        </w:rPr>
      </w:pPr>
    </w:p>
    <w:p w14:paraId="2DEA6F7D" w14:textId="77777777" w:rsidR="007E6A0A" w:rsidRPr="00333BE4" w:rsidRDefault="007E6A0A" w:rsidP="001A68ED">
      <w:pPr>
        <w:jc w:val="both"/>
        <w:rPr>
          <w:rFonts w:asciiTheme="minorHAnsi" w:hAnsiTheme="minorHAnsi"/>
          <w:sz w:val="22"/>
          <w:szCs w:val="22"/>
          <w:lang w:val="en-US" w:eastAsia="ja-JP"/>
        </w:rPr>
      </w:pPr>
    </w:p>
    <w:p w14:paraId="134803C0" w14:textId="18E60C2D" w:rsidR="007E6A0A" w:rsidRPr="00333BE4" w:rsidRDefault="007E6A0A" w:rsidP="004035CD">
      <w:pPr>
        <w:ind w:left="720"/>
        <w:jc w:val="both"/>
        <w:rPr>
          <w:rFonts w:asciiTheme="minorHAnsi" w:hAnsiTheme="minorHAnsi"/>
          <w:sz w:val="22"/>
          <w:szCs w:val="22"/>
          <w:lang w:val="en-US" w:eastAsia="ja-JP"/>
        </w:rPr>
      </w:pPr>
      <w:r w:rsidRPr="00333BE4">
        <w:rPr>
          <w:rFonts w:asciiTheme="minorHAnsi" w:hAnsiTheme="minorHAnsi"/>
          <w:sz w:val="22"/>
          <w:szCs w:val="22"/>
          <w:lang w:val="en-US" w:eastAsia="ja-JP"/>
        </w:rPr>
        <w:t>Three per cent of disabled leavers were unemployed 6 months after graduating compared with 1% of those without a disability.  A higher proportion of disabled leavers were in part-time work than non-disabled leavers (16% against 9%) and vice versa for full-time work (54% against 65%). (Figure 5</w:t>
      </w:r>
      <w:r w:rsidR="001A68ED" w:rsidRPr="00333BE4">
        <w:rPr>
          <w:rFonts w:asciiTheme="minorHAnsi" w:hAnsiTheme="minorHAnsi"/>
          <w:sz w:val="22"/>
          <w:szCs w:val="22"/>
          <w:lang w:val="en-US" w:eastAsia="ja-JP"/>
        </w:rPr>
        <w:t>d</w:t>
      </w:r>
      <w:r w:rsidRPr="00333BE4">
        <w:rPr>
          <w:rFonts w:asciiTheme="minorHAnsi" w:hAnsiTheme="minorHAnsi"/>
          <w:sz w:val="22"/>
          <w:szCs w:val="22"/>
          <w:lang w:val="en-US" w:eastAsia="ja-JP"/>
        </w:rPr>
        <w:t>)</w:t>
      </w:r>
    </w:p>
    <w:p w14:paraId="2E860668" w14:textId="77777777" w:rsidR="001A68ED" w:rsidRPr="00333BE4" w:rsidRDefault="001A68ED" w:rsidP="001A68ED">
      <w:pPr>
        <w:jc w:val="both"/>
        <w:rPr>
          <w:rFonts w:asciiTheme="minorHAnsi" w:hAnsiTheme="minorHAnsi"/>
          <w:sz w:val="22"/>
          <w:szCs w:val="22"/>
          <w:lang w:val="en-US" w:eastAsia="ja-JP"/>
        </w:rPr>
      </w:pPr>
    </w:p>
    <w:p w14:paraId="4CC49818" w14:textId="6AE6F391" w:rsidR="007E6A0A" w:rsidRPr="00333BE4" w:rsidRDefault="007E6A0A" w:rsidP="001A68ED">
      <w:pPr>
        <w:jc w:val="both"/>
        <w:rPr>
          <w:rFonts w:asciiTheme="minorHAnsi" w:hAnsiTheme="minorHAnsi"/>
          <w:b/>
          <w:sz w:val="22"/>
          <w:szCs w:val="22"/>
          <w:lang w:val="en-US" w:eastAsia="ja-JP"/>
        </w:rPr>
      </w:pPr>
      <w:r w:rsidRPr="00333BE4">
        <w:rPr>
          <w:rFonts w:asciiTheme="minorHAnsi" w:hAnsiTheme="minorHAnsi"/>
          <w:b/>
          <w:sz w:val="22"/>
          <w:szCs w:val="22"/>
          <w:lang w:val="en-US" w:eastAsia="ja-JP"/>
        </w:rPr>
        <w:t>Figure 5</w:t>
      </w:r>
      <w:r w:rsidR="001A68ED" w:rsidRPr="00333BE4">
        <w:rPr>
          <w:rFonts w:asciiTheme="minorHAnsi" w:hAnsiTheme="minorHAnsi"/>
          <w:b/>
          <w:sz w:val="22"/>
          <w:szCs w:val="22"/>
          <w:lang w:val="en-US" w:eastAsia="ja-JP"/>
        </w:rPr>
        <w:t>d</w:t>
      </w:r>
      <w:r w:rsidRPr="00333BE4">
        <w:rPr>
          <w:rFonts w:asciiTheme="minorHAnsi" w:hAnsiTheme="minorHAnsi"/>
          <w:b/>
          <w:sz w:val="22"/>
          <w:szCs w:val="22"/>
          <w:lang w:val="en-US" w:eastAsia="ja-JP"/>
        </w:rPr>
        <w:t>:</w:t>
      </w:r>
      <w:r w:rsidRPr="00333BE4">
        <w:rPr>
          <w:rFonts w:asciiTheme="minorHAnsi" w:hAnsiTheme="minorHAnsi"/>
          <w:sz w:val="22"/>
          <w:szCs w:val="22"/>
          <w:lang w:val="en-US" w:eastAsia="ja-JP"/>
        </w:rPr>
        <w:t xml:space="preserve"> </w:t>
      </w:r>
      <w:r w:rsidRPr="00333BE4">
        <w:rPr>
          <w:rFonts w:asciiTheme="minorHAnsi" w:hAnsiTheme="minorHAnsi"/>
          <w:b/>
          <w:sz w:val="22"/>
          <w:szCs w:val="22"/>
          <w:lang w:val="en-US" w:eastAsia="ja-JP"/>
        </w:rPr>
        <w:t>Employment activities</w:t>
      </w:r>
      <w:r w:rsidR="00CE0C58">
        <w:rPr>
          <w:rFonts w:asciiTheme="minorHAnsi" w:hAnsiTheme="minorHAnsi"/>
          <w:b/>
          <w:sz w:val="22"/>
          <w:szCs w:val="22"/>
          <w:lang w:val="en-US" w:eastAsia="ja-JP"/>
        </w:rPr>
        <w:t xml:space="preserve"> 6 months after graduating, by disability</w:t>
      </w:r>
      <w:bookmarkStart w:id="0" w:name="_GoBack"/>
      <w:bookmarkEnd w:id="0"/>
      <w:r w:rsidRPr="00333BE4">
        <w:rPr>
          <w:rFonts w:asciiTheme="minorHAnsi" w:hAnsiTheme="minorHAnsi"/>
          <w:b/>
          <w:sz w:val="22"/>
          <w:szCs w:val="22"/>
          <w:lang w:val="en-US" w:eastAsia="ja-JP"/>
        </w:rPr>
        <w:t xml:space="preserve"> (%)</w:t>
      </w:r>
    </w:p>
    <w:p w14:paraId="2D0BA52A" w14:textId="6C4697BC" w:rsidR="007E6A0A" w:rsidRPr="00333BE4" w:rsidRDefault="005010AC" w:rsidP="001A68ED">
      <w:pPr>
        <w:jc w:val="both"/>
        <w:rPr>
          <w:rFonts w:asciiTheme="minorHAnsi" w:hAnsiTheme="minorHAnsi"/>
          <w:sz w:val="22"/>
          <w:szCs w:val="22"/>
          <w:lang w:val="en-US" w:eastAsia="ja-JP"/>
        </w:rPr>
      </w:pPr>
      <w:r w:rsidRPr="00333BE4">
        <w:rPr>
          <w:rFonts w:asciiTheme="minorHAnsi" w:hAnsiTheme="minorHAnsi"/>
          <w:b/>
          <w:noProof/>
          <w:sz w:val="22"/>
          <w:szCs w:val="22"/>
        </w:rPr>
        <mc:AlternateContent>
          <mc:Choice Requires="wps">
            <w:drawing>
              <wp:anchor distT="0" distB="0" distL="114300" distR="114300" simplePos="0" relativeHeight="251665408" behindDoc="0" locked="0" layoutInCell="1" allowOverlap="1" wp14:anchorId="1E280900" wp14:editId="6A0CBCAA">
                <wp:simplePos x="0" y="0"/>
                <wp:positionH relativeFrom="column">
                  <wp:posOffset>4306570</wp:posOffset>
                </wp:positionH>
                <wp:positionV relativeFrom="paragraph">
                  <wp:posOffset>2797175</wp:posOffset>
                </wp:positionV>
                <wp:extent cx="135953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03985"/>
                        </a:xfrm>
                        <a:prstGeom prst="rect">
                          <a:avLst/>
                        </a:prstGeom>
                        <a:noFill/>
                        <a:ln w="9525">
                          <a:noFill/>
                          <a:miter lim="800000"/>
                          <a:headEnd/>
                          <a:tailEnd/>
                        </a:ln>
                      </wps:spPr>
                      <wps:txbx>
                        <w:txbxContent>
                          <w:p w14:paraId="692D6FB3" w14:textId="77777777" w:rsidR="00956621" w:rsidRPr="005010AC" w:rsidRDefault="00956621" w:rsidP="005010AC">
                            <w:pPr>
                              <w:rPr>
                                <w:rFonts w:asciiTheme="minorHAnsi" w:hAnsiTheme="minorHAnsi"/>
                                <w:sz w:val="18"/>
                                <w:szCs w:val="18"/>
                              </w:rPr>
                            </w:pPr>
                            <w:r w:rsidRPr="005010AC">
                              <w:rPr>
                                <w:rFonts w:asciiTheme="minorHAnsi" w:hAnsiTheme="minorHAnsi"/>
                                <w:sz w:val="18"/>
                                <w:szCs w:val="18"/>
                              </w:rPr>
                              <w:t>Source: DLHE 2013/14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280900" id="_x0000_s1029" type="#_x0000_t202" style="position:absolute;left:0;text-align:left;margin-left:339.1pt;margin-top:220.25pt;width:107.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nLEAIAAPoDAAAOAAAAZHJzL2Uyb0RvYy54bWysU9tu2zAMfR+wfxD0vti5eEuMKEXXLsOA&#10;7gK0+wBFlmNhkqhJSuzu60vJSRZsb8P8IIgmechzSK1vBqPJUfqgwDI6nZSUSCugUXbP6Pen7Zsl&#10;JSFy23ANVjL6LAO92bx+te5dLWfQgW6kJwhiQ907RrsYXV0UQXTS8DABJy06W/CGRzT9vmg87xHd&#10;6GJWlm+LHnzjPAgZAv69H510k/HbVor4tW2DjEQzir3FfPp87tJZbNa83nvuOiVObfB/6MJwZbHo&#10;BeqeR04OXv0FZZTwEKCNEwGmgLZVQmYOyGZa/sHmseNOZi4oTnAXmcL/gxVfjt88UQ2jC0osNzii&#10;JzlE8h4GMkvq9C7UGPToMCwO+BunnJkG9wDiRyAW7jpu9/LWe+g7yRvsbpoyi6vUESckkF3/GRos&#10;ww8RMtDQepOkQzEIouOUni+TSa2IVHJerap5RYlA33RRzlfLKtfg9Tnd+RA/SjAkXRj1OPoMz48P&#10;IaZ2eH0OSdUsbJXWefzakp7RVTWrcsKVx6iI26mVYXRZpm/cl8Tyg21ycuRKj3csoO2JdmI6co7D&#10;bsj6zs9q7qB5Rh08jMuIjwcvHfhflPS4iIyGnwfuJSX6k0UtV9PFIm1uNhbVuxka/tqzu/ZwKxCK&#10;0UjJeL2LedsT5eBuUfOtymqk4YydnFrGBcsinR5D2uBrO0f9frKbFwAAAP//AwBQSwMEFAAGAAgA&#10;AAAhALkWmi7gAAAACwEAAA8AAABkcnMvZG93bnJldi54bWxMj8tOwzAQRfdI/IM1SOyo3VDSNMSp&#10;KtSWZaFEXbvxkETED8VuGv6eYQXL0T2690yxnkzPRhxC56yE+UwAQ1s73dlGQvWxe8iAhaisVr2z&#10;KOEbA6zL25tC5dpd7TuOx9gwKrEhVxLaGH3OeahbNCrMnEdL2acbjIp0Dg3Xg7pSuel5IkTKjeos&#10;LbTK40uL9dfxYiT46PfL1+HwttnuRlGd9lXSNVsp7++mzTOwiFP8g+FXn9ShJKezu1gdWC8hXWYJ&#10;oRIWC/EEjIhslTwCO1OUzlPgZcH//1D+AAAA//8DAFBLAQItABQABgAIAAAAIQC2gziS/gAAAOEB&#10;AAATAAAAAAAAAAAAAAAAAAAAAABbQ29udGVudF9UeXBlc10ueG1sUEsBAi0AFAAGAAgAAAAhADj9&#10;If/WAAAAlAEAAAsAAAAAAAAAAAAAAAAALwEAAF9yZWxzLy5yZWxzUEsBAi0AFAAGAAgAAAAhAIwT&#10;acsQAgAA+gMAAA4AAAAAAAAAAAAAAAAALgIAAGRycy9lMm9Eb2MueG1sUEsBAi0AFAAGAAgAAAAh&#10;ALkWmi7gAAAACwEAAA8AAAAAAAAAAAAAAAAAagQAAGRycy9kb3ducmV2LnhtbFBLBQYAAAAABAAE&#10;APMAAAB3BQAAAAA=&#10;" filled="f" stroked="f">
                <v:textbox style="mso-fit-shape-to-text:t">
                  <w:txbxContent>
                    <w:p w14:paraId="692D6FB3" w14:textId="77777777" w:rsidR="00956621" w:rsidRPr="005010AC" w:rsidRDefault="00956621" w:rsidP="005010AC">
                      <w:pPr>
                        <w:rPr>
                          <w:rFonts w:asciiTheme="minorHAnsi" w:hAnsiTheme="minorHAnsi"/>
                          <w:sz w:val="18"/>
                          <w:szCs w:val="18"/>
                        </w:rPr>
                      </w:pPr>
                      <w:r w:rsidRPr="005010AC">
                        <w:rPr>
                          <w:rFonts w:asciiTheme="minorHAnsi" w:hAnsiTheme="minorHAnsi"/>
                          <w:sz w:val="18"/>
                          <w:szCs w:val="18"/>
                        </w:rPr>
                        <w:t>Source: DLHE 2013/14</w:t>
                      </w:r>
                    </w:p>
                  </w:txbxContent>
                </v:textbox>
              </v:shape>
            </w:pict>
          </mc:Fallback>
        </mc:AlternateContent>
      </w:r>
      <w:r w:rsidR="007E6A0A" w:rsidRPr="00333BE4">
        <w:rPr>
          <w:rFonts w:asciiTheme="minorHAnsi" w:hAnsiTheme="minorHAnsi"/>
          <w:noProof/>
          <w:sz w:val="22"/>
          <w:szCs w:val="22"/>
        </w:rPr>
        <w:drawing>
          <wp:inline distT="0" distB="0" distL="0" distR="0" wp14:anchorId="5CE025D7" wp14:editId="7ED6EA21">
            <wp:extent cx="6400800" cy="2981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9042" cy="2985164"/>
                    </a:xfrm>
                    <a:prstGeom prst="rect">
                      <a:avLst/>
                    </a:prstGeom>
                    <a:noFill/>
                  </pic:spPr>
                </pic:pic>
              </a:graphicData>
            </a:graphic>
          </wp:inline>
        </w:drawing>
      </w:r>
    </w:p>
    <w:p w14:paraId="32CC0AEF" w14:textId="77777777" w:rsidR="007E6A0A" w:rsidRPr="00333BE4" w:rsidRDefault="007E6A0A" w:rsidP="001A68ED">
      <w:pPr>
        <w:jc w:val="both"/>
        <w:rPr>
          <w:rFonts w:asciiTheme="minorHAnsi" w:hAnsiTheme="minorHAnsi"/>
          <w:sz w:val="22"/>
          <w:szCs w:val="22"/>
          <w:lang w:val="en-US" w:eastAsia="ja-JP"/>
        </w:rPr>
      </w:pPr>
      <w:r w:rsidRPr="00333BE4">
        <w:rPr>
          <w:rFonts w:asciiTheme="minorHAnsi" w:hAnsiTheme="minorHAnsi"/>
          <w:sz w:val="22"/>
          <w:szCs w:val="22"/>
          <w:lang w:val="en-US" w:eastAsia="ja-JP"/>
        </w:rPr>
        <w:br w:type="page"/>
      </w:r>
    </w:p>
    <w:p w14:paraId="331523A1" w14:textId="77777777" w:rsidR="007E6A0A" w:rsidRPr="00333BE4" w:rsidRDefault="007E6A0A" w:rsidP="003A6B0F">
      <w:pPr>
        <w:rPr>
          <w:rFonts w:asciiTheme="minorHAnsi" w:hAnsiTheme="minorHAnsi"/>
          <w:b/>
          <w:sz w:val="22"/>
          <w:szCs w:val="22"/>
        </w:rPr>
      </w:pPr>
    </w:p>
    <w:sectPr w:rsidR="007E6A0A" w:rsidRPr="00333BE4" w:rsidSect="00956621">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1CE59" w14:textId="77777777" w:rsidR="00956621" w:rsidRDefault="00956621" w:rsidP="009E7BA1">
      <w:r>
        <w:separator/>
      </w:r>
    </w:p>
  </w:endnote>
  <w:endnote w:type="continuationSeparator" w:id="0">
    <w:p w14:paraId="6595C36F" w14:textId="77777777" w:rsidR="00956621" w:rsidRDefault="00956621" w:rsidP="009E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845020"/>
      <w:docPartObj>
        <w:docPartGallery w:val="Page Numbers (Bottom of Page)"/>
        <w:docPartUnique/>
      </w:docPartObj>
    </w:sdtPr>
    <w:sdtEndPr>
      <w:rPr>
        <w:noProof/>
      </w:rPr>
    </w:sdtEndPr>
    <w:sdtContent>
      <w:p w14:paraId="4342731E" w14:textId="139CD933" w:rsidR="00956621" w:rsidRDefault="00956621">
        <w:pPr>
          <w:pStyle w:val="Footer"/>
          <w:jc w:val="center"/>
        </w:pPr>
        <w:r>
          <w:fldChar w:fldCharType="begin"/>
        </w:r>
        <w:r>
          <w:instrText xml:space="preserve"> PAGE   \* MERGEFORMAT </w:instrText>
        </w:r>
        <w:r>
          <w:fldChar w:fldCharType="separate"/>
        </w:r>
        <w:r w:rsidR="00CE0C58">
          <w:rPr>
            <w:noProof/>
          </w:rPr>
          <w:t>18</w:t>
        </w:r>
        <w:r>
          <w:rPr>
            <w:noProof/>
          </w:rPr>
          <w:fldChar w:fldCharType="end"/>
        </w:r>
      </w:p>
    </w:sdtContent>
  </w:sdt>
  <w:p w14:paraId="7F265901" w14:textId="77777777" w:rsidR="00956621" w:rsidRDefault="009566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4AB0A" w14:textId="77777777" w:rsidR="00956621" w:rsidRDefault="00956621" w:rsidP="009E7BA1">
      <w:r>
        <w:separator/>
      </w:r>
    </w:p>
  </w:footnote>
  <w:footnote w:type="continuationSeparator" w:id="0">
    <w:p w14:paraId="2456F9AC" w14:textId="77777777" w:rsidR="00956621" w:rsidRDefault="00956621" w:rsidP="009E7BA1">
      <w:r>
        <w:continuationSeparator/>
      </w:r>
    </w:p>
  </w:footnote>
  <w:footnote w:id="1">
    <w:p w14:paraId="14B03686" w14:textId="77777777" w:rsidR="00956621" w:rsidRDefault="00956621" w:rsidP="00DF52F9">
      <w:pPr>
        <w:pStyle w:val="FootnoteText"/>
      </w:pPr>
      <w:r>
        <w:rPr>
          <w:rStyle w:val="FootnoteReference"/>
        </w:rPr>
        <w:footnoteRef/>
      </w:r>
      <w:r>
        <w:t xml:space="preserve"> 16% of HE enrolments on undergraduate Education subject programmes were male, HESA student record 2013/14.</w:t>
      </w:r>
    </w:p>
  </w:footnote>
  <w:footnote w:id="2">
    <w:p w14:paraId="4728609C" w14:textId="77777777" w:rsidR="00956621" w:rsidRDefault="00956621" w:rsidP="00DF52F9">
      <w:pPr>
        <w:pStyle w:val="FootnoteText"/>
      </w:pPr>
      <w:r>
        <w:rPr>
          <w:rStyle w:val="FootnoteReference"/>
        </w:rPr>
        <w:footnoteRef/>
      </w:r>
      <w:r>
        <w:t xml:space="preserve"> </w:t>
      </w:r>
      <w:r w:rsidRPr="005D4697">
        <w:rPr>
          <w:rFonts w:ascii="Calibri" w:hAnsi="Calibri" w:cs="Calibri"/>
          <w:i/>
        </w:rPr>
        <w:t xml:space="preserve">2.4% of Lincolnshire population </w:t>
      </w:r>
      <w:r>
        <w:rPr>
          <w:rFonts w:ascii="Calibri" w:hAnsi="Calibri" w:cs="Calibri"/>
          <w:i/>
        </w:rPr>
        <w:t xml:space="preserve">is </w:t>
      </w:r>
      <w:r w:rsidRPr="005D4697">
        <w:rPr>
          <w:rFonts w:ascii="Calibri" w:hAnsi="Calibri" w:cs="Calibri"/>
          <w:i/>
        </w:rPr>
        <w:t>BME</w:t>
      </w:r>
      <w:r>
        <w:rPr>
          <w:rFonts w:ascii="Calibri" w:hAnsi="Calibri" w:cs="Calibri"/>
          <w:i/>
        </w:rPr>
        <w:t xml:space="preserve">. </w:t>
      </w:r>
      <w:r>
        <w:t xml:space="preserve"> 2011 Census  </w:t>
      </w:r>
      <w:r w:rsidRPr="00C32E2E">
        <w:t>http://www.research-lincs.org.uk/2011-Census.aspx</w:t>
      </w:r>
    </w:p>
  </w:footnote>
  <w:footnote w:id="3">
    <w:p w14:paraId="730F27C5" w14:textId="77777777" w:rsidR="00956621" w:rsidRDefault="00956621" w:rsidP="00DF52F9">
      <w:pPr>
        <w:pStyle w:val="FootnoteText"/>
      </w:pPr>
      <w:r>
        <w:rPr>
          <w:rStyle w:val="FootnoteReference"/>
        </w:rPr>
        <w:footnoteRef/>
      </w:r>
      <w:r>
        <w:t xml:space="preserve"> 2011 Census  </w:t>
      </w:r>
      <w:r w:rsidRPr="00C32E2E">
        <w:t>http://www.research-lincs.org.uk/2011-Census.aspx</w:t>
      </w:r>
    </w:p>
    <w:p w14:paraId="2775AE5F" w14:textId="77777777" w:rsidR="00956621" w:rsidRDefault="00956621" w:rsidP="00DF52F9">
      <w:pPr>
        <w:pStyle w:val="FootnoteText"/>
      </w:pPr>
    </w:p>
  </w:footnote>
  <w:footnote w:id="4">
    <w:p w14:paraId="59F2C556" w14:textId="77777777" w:rsidR="00956621" w:rsidRDefault="00956621" w:rsidP="00171CD7">
      <w:pPr>
        <w:pStyle w:val="FootnoteText"/>
      </w:pPr>
      <w:r>
        <w:rPr>
          <w:rStyle w:val="FootnoteReference"/>
        </w:rPr>
        <w:footnoteRef/>
      </w:r>
      <w:r>
        <w:t xml:space="preserve"> Equality Challenge Unit</w:t>
      </w:r>
      <w:r w:rsidRPr="002B20AD">
        <w:t xml:space="preserve"> </w:t>
      </w:r>
      <w:r>
        <w:t>(2015). Equality in Higher Education: statistical report 2015. London: ECU</w:t>
      </w:r>
    </w:p>
  </w:footnote>
  <w:footnote w:id="5">
    <w:p w14:paraId="1247A46E" w14:textId="77777777" w:rsidR="00956621" w:rsidRDefault="00956621" w:rsidP="00171CD7">
      <w:pPr>
        <w:pStyle w:val="FootnoteText"/>
      </w:pPr>
      <w:r>
        <w:rPr>
          <w:rStyle w:val="FootnoteReference"/>
        </w:rPr>
        <w:footnoteRef/>
      </w:r>
      <w:r>
        <w:t xml:space="preserve"> Equality Challenge Unit</w:t>
      </w:r>
      <w:r w:rsidRPr="002B20AD">
        <w:t xml:space="preserve"> </w:t>
      </w:r>
      <w:r>
        <w:t>(2015). Equality in Higher Education: statistical report 2015. London: ECU</w:t>
      </w:r>
    </w:p>
  </w:footnote>
  <w:footnote w:id="6">
    <w:p w14:paraId="7512D182" w14:textId="77777777" w:rsidR="00956621" w:rsidRDefault="00956621" w:rsidP="00D03DB8">
      <w:pPr>
        <w:pStyle w:val="FootnoteText"/>
      </w:pPr>
      <w:r>
        <w:rPr>
          <w:rStyle w:val="FootnoteReference"/>
        </w:rPr>
        <w:footnoteRef/>
      </w:r>
      <w:r>
        <w:t xml:space="preserve"> Equality Challenge Unit</w:t>
      </w:r>
      <w:r w:rsidRPr="002B20AD">
        <w:t xml:space="preserve"> </w:t>
      </w:r>
      <w:r>
        <w:t>(2015). Equality in Higher Education: statistical report 2015. London: ECU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883"/>
    <w:multiLevelType w:val="hybridMultilevel"/>
    <w:tmpl w:val="F118BE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813EE"/>
    <w:multiLevelType w:val="hybridMultilevel"/>
    <w:tmpl w:val="A606C19C"/>
    <w:lvl w:ilvl="0" w:tplc="0809000F">
      <w:start w:val="1"/>
      <w:numFmt w:val="decimal"/>
      <w:lvlText w:val="%1."/>
      <w:lvlJc w:val="left"/>
      <w:pPr>
        <w:ind w:left="360" w:hanging="360"/>
      </w:pPr>
      <w:rPr>
        <w:rFonts w:hint="default"/>
      </w:rPr>
    </w:lvl>
    <w:lvl w:ilvl="1" w:tplc="AEEE8B3A">
      <w:start w:val="1"/>
      <w:numFmt w:val="lowerLetter"/>
      <w:lvlText w:val="%2."/>
      <w:lvlJc w:val="left"/>
      <w:pPr>
        <w:ind w:left="567" w:hanging="283"/>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04033A"/>
    <w:multiLevelType w:val="hybridMultilevel"/>
    <w:tmpl w:val="E49CDAC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CC5206"/>
    <w:multiLevelType w:val="hybridMultilevel"/>
    <w:tmpl w:val="DC6EF1D2"/>
    <w:lvl w:ilvl="0" w:tplc="7E96D7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C29FD"/>
    <w:multiLevelType w:val="hybridMultilevel"/>
    <w:tmpl w:val="00841426"/>
    <w:lvl w:ilvl="0" w:tplc="54A80D7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55AA1B1C"/>
    <w:multiLevelType w:val="hybridMultilevel"/>
    <w:tmpl w:val="5CE2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D217A"/>
    <w:multiLevelType w:val="hybridMultilevel"/>
    <w:tmpl w:val="FE3A86BE"/>
    <w:lvl w:ilvl="0" w:tplc="54A80D78">
      <w:start w:val="1"/>
      <w:numFmt w:val="decimal"/>
      <w:lvlText w:val="%1."/>
      <w:lvlJc w:val="left"/>
      <w:pPr>
        <w:ind w:left="450"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6D65050F"/>
    <w:multiLevelType w:val="hybridMultilevel"/>
    <w:tmpl w:val="B3C4F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0F"/>
    <w:rsid w:val="000065E7"/>
    <w:rsid w:val="00013E17"/>
    <w:rsid w:val="0005585D"/>
    <w:rsid w:val="0006357E"/>
    <w:rsid w:val="00086710"/>
    <w:rsid w:val="000A2C59"/>
    <w:rsid w:val="000C6BF2"/>
    <w:rsid w:val="000D6B81"/>
    <w:rsid w:val="000E24DC"/>
    <w:rsid w:val="000F69B7"/>
    <w:rsid w:val="00156BDA"/>
    <w:rsid w:val="00171CD7"/>
    <w:rsid w:val="001A68ED"/>
    <w:rsid w:val="001C6F80"/>
    <w:rsid w:val="001F0526"/>
    <w:rsid w:val="002258FA"/>
    <w:rsid w:val="00256CD9"/>
    <w:rsid w:val="002A37A0"/>
    <w:rsid w:val="002A70B6"/>
    <w:rsid w:val="002E707E"/>
    <w:rsid w:val="00302073"/>
    <w:rsid w:val="00317DAD"/>
    <w:rsid w:val="00333490"/>
    <w:rsid w:val="00333BE4"/>
    <w:rsid w:val="003926C6"/>
    <w:rsid w:val="003A6B0F"/>
    <w:rsid w:val="004035CD"/>
    <w:rsid w:val="004639D7"/>
    <w:rsid w:val="004940EE"/>
    <w:rsid w:val="004C166E"/>
    <w:rsid w:val="005010AC"/>
    <w:rsid w:val="005816B0"/>
    <w:rsid w:val="00583E9E"/>
    <w:rsid w:val="005C3DE3"/>
    <w:rsid w:val="006070B1"/>
    <w:rsid w:val="00625098"/>
    <w:rsid w:val="00640F36"/>
    <w:rsid w:val="00696455"/>
    <w:rsid w:val="00715F32"/>
    <w:rsid w:val="007177D5"/>
    <w:rsid w:val="00744162"/>
    <w:rsid w:val="00751870"/>
    <w:rsid w:val="00767A37"/>
    <w:rsid w:val="007724D3"/>
    <w:rsid w:val="007B2BF0"/>
    <w:rsid w:val="007C48D5"/>
    <w:rsid w:val="007E6A0A"/>
    <w:rsid w:val="007F0DCC"/>
    <w:rsid w:val="00821313"/>
    <w:rsid w:val="00850DDA"/>
    <w:rsid w:val="008A0907"/>
    <w:rsid w:val="008F2BD5"/>
    <w:rsid w:val="00956621"/>
    <w:rsid w:val="009624DB"/>
    <w:rsid w:val="0098360D"/>
    <w:rsid w:val="009C145B"/>
    <w:rsid w:val="009D709A"/>
    <w:rsid w:val="009E6A66"/>
    <w:rsid w:val="009E7BA1"/>
    <w:rsid w:val="00A320B8"/>
    <w:rsid w:val="00B17E3D"/>
    <w:rsid w:val="00B3373D"/>
    <w:rsid w:val="00B40F06"/>
    <w:rsid w:val="00B74603"/>
    <w:rsid w:val="00B84C34"/>
    <w:rsid w:val="00BB26AC"/>
    <w:rsid w:val="00BF2CDA"/>
    <w:rsid w:val="00C4229E"/>
    <w:rsid w:val="00C85BA5"/>
    <w:rsid w:val="00CE0C58"/>
    <w:rsid w:val="00D03DB8"/>
    <w:rsid w:val="00D17789"/>
    <w:rsid w:val="00D27B26"/>
    <w:rsid w:val="00D322DC"/>
    <w:rsid w:val="00D868EB"/>
    <w:rsid w:val="00D92929"/>
    <w:rsid w:val="00D977DE"/>
    <w:rsid w:val="00DA395A"/>
    <w:rsid w:val="00DC3831"/>
    <w:rsid w:val="00DC7A5B"/>
    <w:rsid w:val="00DF52F9"/>
    <w:rsid w:val="00E278A7"/>
    <w:rsid w:val="00E42ED9"/>
    <w:rsid w:val="00E617D9"/>
    <w:rsid w:val="00E65578"/>
    <w:rsid w:val="00E75F0D"/>
    <w:rsid w:val="00E94B70"/>
    <w:rsid w:val="00ED4F5B"/>
    <w:rsid w:val="00F204B7"/>
    <w:rsid w:val="00F42D87"/>
    <w:rsid w:val="00F4543F"/>
    <w:rsid w:val="00F50F75"/>
    <w:rsid w:val="00F63C5F"/>
    <w:rsid w:val="00FD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04421"/>
  <w15:docId w15:val="{833126BC-4236-4851-B43A-B01B4350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E6A0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B0F"/>
    <w:pPr>
      <w:autoSpaceDE w:val="0"/>
      <w:autoSpaceDN w:val="0"/>
      <w:adjustRightInd w:val="0"/>
    </w:pPr>
    <w:rPr>
      <w:rFonts w:ascii="Calibri" w:hAnsi="Calibri" w:cs="Calibri"/>
      <w:color w:val="000000"/>
      <w:sz w:val="24"/>
      <w:szCs w:val="24"/>
    </w:rPr>
  </w:style>
  <w:style w:type="table" w:styleId="TableGrid">
    <w:name w:val="Table Grid"/>
    <w:basedOn w:val="TableNormal"/>
    <w:rsid w:val="003A6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A66"/>
    <w:pPr>
      <w:ind w:left="720"/>
      <w:contextualSpacing/>
    </w:pPr>
  </w:style>
  <w:style w:type="paragraph" w:styleId="BalloonText">
    <w:name w:val="Balloon Text"/>
    <w:basedOn w:val="Normal"/>
    <w:link w:val="BalloonTextChar"/>
    <w:rsid w:val="00F4543F"/>
    <w:rPr>
      <w:rFonts w:ascii="Tahoma" w:hAnsi="Tahoma" w:cs="Tahoma"/>
      <w:sz w:val="16"/>
      <w:szCs w:val="16"/>
    </w:rPr>
  </w:style>
  <w:style w:type="character" w:customStyle="1" w:styleId="BalloonTextChar">
    <w:name w:val="Balloon Text Char"/>
    <w:basedOn w:val="DefaultParagraphFont"/>
    <w:link w:val="BalloonText"/>
    <w:rsid w:val="00F4543F"/>
    <w:rPr>
      <w:rFonts w:ascii="Tahoma" w:hAnsi="Tahoma" w:cs="Tahoma"/>
      <w:sz w:val="16"/>
      <w:szCs w:val="16"/>
    </w:rPr>
  </w:style>
  <w:style w:type="paragraph" w:styleId="FootnoteText">
    <w:name w:val="footnote text"/>
    <w:basedOn w:val="Normal"/>
    <w:link w:val="FootnoteTextChar"/>
    <w:uiPriority w:val="99"/>
    <w:unhideWhenUsed/>
    <w:rsid w:val="009E7BA1"/>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9E7BA1"/>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E7BA1"/>
    <w:rPr>
      <w:vertAlign w:val="superscript"/>
    </w:rPr>
  </w:style>
  <w:style w:type="character" w:customStyle="1" w:styleId="Heading2Char">
    <w:name w:val="Heading 2 Char"/>
    <w:basedOn w:val="DefaultParagraphFont"/>
    <w:link w:val="Heading2"/>
    <w:uiPriority w:val="9"/>
    <w:rsid w:val="007E6A0A"/>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rsid w:val="00E617D9"/>
    <w:pPr>
      <w:tabs>
        <w:tab w:val="center" w:pos="4513"/>
        <w:tab w:val="right" w:pos="9026"/>
      </w:tabs>
    </w:pPr>
  </w:style>
  <w:style w:type="character" w:customStyle="1" w:styleId="HeaderChar">
    <w:name w:val="Header Char"/>
    <w:basedOn w:val="DefaultParagraphFont"/>
    <w:link w:val="Header"/>
    <w:rsid w:val="00E617D9"/>
    <w:rPr>
      <w:sz w:val="24"/>
      <w:szCs w:val="24"/>
    </w:rPr>
  </w:style>
  <w:style w:type="paragraph" w:styleId="Footer">
    <w:name w:val="footer"/>
    <w:basedOn w:val="Normal"/>
    <w:link w:val="FooterChar"/>
    <w:uiPriority w:val="99"/>
    <w:rsid w:val="00E617D9"/>
    <w:pPr>
      <w:tabs>
        <w:tab w:val="center" w:pos="4513"/>
        <w:tab w:val="right" w:pos="9026"/>
      </w:tabs>
    </w:pPr>
  </w:style>
  <w:style w:type="character" w:customStyle="1" w:styleId="FooterChar">
    <w:name w:val="Footer Char"/>
    <w:basedOn w:val="DefaultParagraphFont"/>
    <w:link w:val="Footer"/>
    <w:uiPriority w:val="99"/>
    <w:rsid w:val="00E617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33143">
      <w:bodyDiv w:val="1"/>
      <w:marLeft w:val="0"/>
      <w:marRight w:val="0"/>
      <w:marTop w:val="0"/>
      <w:marBottom w:val="0"/>
      <w:divBdr>
        <w:top w:val="none" w:sz="0" w:space="0" w:color="auto"/>
        <w:left w:val="none" w:sz="0" w:space="0" w:color="auto"/>
        <w:bottom w:val="none" w:sz="0" w:space="0" w:color="auto"/>
        <w:right w:val="none" w:sz="0" w:space="0" w:color="auto"/>
      </w:divBdr>
    </w:div>
    <w:div w:id="602300296">
      <w:bodyDiv w:val="1"/>
      <w:marLeft w:val="0"/>
      <w:marRight w:val="0"/>
      <w:marTop w:val="0"/>
      <w:marBottom w:val="0"/>
      <w:divBdr>
        <w:top w:val="none" w:sz="0" w:space="0" w:color="auto"/>
        <w:left w:val="none" w:sz="0" w:space="0" w:color="auto"/>
        <w:bottom w:val="none" w:sz="0" w:space="0" w:color="auto"/>
        <w:right w:val="none" w:sz="0" w:space="0" w:color="auto"/>
      </w:divBdr>
    </w:div>
    <w:div w:id="949237391">
      <w:bodyDiv w:val="1"/>
      <w:marLeft w:val="0"/>
      <w:marRight w:val="0"/>
      <w:marTop w:val="0"/>
      <w:marBottom w:val="0"/>
      <w:divBdr>
        <w:top w:val="none" w:sz="0" w:space="0" w:color="auto"/>
        <w:left w:val="none" w:sz="0" w:space="0" w:color="auto"/>
        <w:bottom w:val="none" w:sz="0" w:space="0" w:color="auto"/>
        <w:right w:val="none" w:sz="0" w:space="0" w:color="auto"/>
      </w:divBdr>
    </w:div>
    <w:div w:id="1873573008">
      <w:bodyDiv w:val="1"/>
      <w:marLeft w:val="0"/>
      <w:marRight w:val="0"/>
      <w:marTop w:val="0"/>
      <w:marBottom w:val="0"/>
      <w:divBdr>
        <w:top w:val="none" w:sz="0" w:space="0" w:color="auto"/>
        <w:left w:val="none" w:sz="0" w:space="0" w:color="auto"/>
        <w:bottom w:val="none" w:sz="0" w:space="0" w:color="auto"/>
        <w:right w:val="none" w:sz="0" w:space="0" w:color="auto"/>
      </w:divBdr>
    </w:div>
    <w:div w:id="1944531712">
      <w:bodyDiv w:val="1"/>
      <w:marLeft w:val="0"/>
      <w:marRight w:val="0"/>
      <w:marTop w:val="0"/>
      <w:marBottom w:val="0"/>
      <w:divBdr>
        <w:top w:val="none" w:sz="0" w:space="0" w:color="auto"/>
        <w:left w:val="none" w:sz="0" w:space="0" w:color="auto"/>
        <w:bottom w:val="none" w:sz="0" w:space="0" w:color="auto"/>
        <w:right w:val="none" w:sz="0" w:space="0" w:color="auto"/>
      </w:divBdr>
    </w:div>
    <w:div w:id="20896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35"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3879E59EA77488D9FBC5637EFEAD9" ma:contentTypeVersion="3" ma:contentTypeDescription="Create a new document." ma:contentTypeScope="" ma:versionID="68116c8794089ae3af46aa2f9e8c6bff">
  <xsd:schema xmlns:xsd="http://www.w3.org/2001/XMLSchema" xmlns:xs="http://www.w3.org/2001/XMLSchema" xmlns:p="http://schemas.microsoft.com/office/2006/metadata/properties" xmlns:ns1="http://schemas.microsoft.com/sharepoint/v3" targetNamespace="http://schemas.microsoft.com/office/2006/metadata/properties" ma:root="true" ma:fieldsID="b21ae813a953dd581d8ac65f4bcd1fc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19646-C99D-440B-BBC6-BB629F8AFF3C}"/>
</file>

<file path=customXml/itemProps2.xml><?xml version="1.0" encoding="utf-8"?>
<ds:datastoreItem xmlns:ds="http://schemas.openxmlformats.org/officeDocument/2006/customXml" ds:itemID="{E22846C6-661A-4C41-966B-FE54A52F4A0F}"/>
</file>

<file path=customXml/itemProps3.xml><?xml version="1.0" encoding="utf-8"?>
<ds:datastoreItem xmlns:ds="http://schemas.openxmlformats.org/officeDocument/2006/customXml" ds:itemID="{38DD257B-B11A-4849-9637-0495400B4339}"/>
</file>

<file path=customXml/itemProps4.xml><?xml version="1.0" encoding="utf-8"?>
<ds:datastoreItem xmlns:ds="http://schemas.openxmlformats.org/officeDocument/2006/customXml" ds:itemID="{E22846C6-661A-4C41-966B-FE54A52F4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344FEFB1</Template>
  <TotalTime>510</TotalTime>
  <Pages>19</Pages>
  <Words>2271</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Smith</dc:creator>
  <cp:lastModifiedBy>Alison Coton</cp:lastModifiedBy>
  <cp:revision>9</cp:revision>
  <cp:lastPrinted>2016-09-27T13:23:00Z</cp:lastPrinted>
  <dcterms:created xsi:type="dcterms:W3CDTF">2016-09-21T13:54:00Z</dcterms:created>
  <dcterms:modified xsi:type="dcterms:W3CDTF">2016-09-27T14:09:00Z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0x010100BF43879E59EA77488D9FBC5637EFEAD9</vt:lpwstr>
  </property>
  <property fmtid="{D5CDD505-2E9C-101B-9397-08002B2CF9AE}" pid="3" name="_dlc_DocIdItemGuid">
    <vt:lpwstr>57a19eee-5c63-491f-83ce-8fa204c729f6</vt:lpwstr>
  </property>
</Properties>
</file>